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A13" w:rsidRDefault="00B82A13">
      <w:pPr>
        <w:autoSpaceDE/>
        <w:autoSpaceDN/>
        <w:adjustRightInd/>
        <w:spacing w:after="0"/>
        <w:jc w:val="lef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217805</wp:posOffset>
                </wp:positionH>
                <wp:positionV relativeFrom="paragraph">
                  <wp:posOffset>4679950</wp:posOffset>
                </wp:positionV>
                <wp:extent cx="3668395" cy="3895725"/>
                <wp:effectExtent l="0" t="0" r="0" b="9525"/>
                <wp:wrapNone/>
                <wp:docPr id="36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389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6A6" w:rsidRPr="00E853B8" w:rsidRDefault="00B82A13" w:rsidP="00303427">
                            <w:pPr>
                              <w:pStyle w:val="Title"/>
                              <w:jc w:val="left"/>
                              <w:rPr>
                                <w:sz w:val="96"/>
                                <w:szCs w:val="96"/>
                              </w:rPr>
                            </w:pPr>
                            <w:r w:rsidRPr="00E853B8">
                              <w:rPr>
                                <w:sz w:val="96"/>
                                <w:szCs w:val="96"/>
                              </w:rPr>
                              <w:t>Lancashire County Pension Fund</w:t>
                            </w:r>
                          </w:p>
                          <w:p w:rsidR="001926A6" w:rsidRPr="00846AEA" w:rsidRDefault="00B82A13" w:rsidP="00303427">
                            <w:pPr>
                              <w:pStyle w:val="Title2"/>
                              <w:jc w:val="left"/>
                            </w:pPr>
                            <w:bookmarkStart w:id="0" w:name="_Toc307236626"/>
                            <w:r w:rsidRPr="00846AEA">
                              <w:t>S</w:t>
                            </w:r>
                            <w:r>
                              <w:t>tatement of Investment Principles</w:t>
                            </w:r>
                            <w:bookmarkEnd w:id="0"/>
                          </w:p>
                          <w:p w:rsidR="001926A6" w:rsidRDefault="00B82A13" w:rsidP="00303427">
                            <w:pPr>
                              <w:jc w:val="left"/>
                            </w:pPr>
                          </w:p>
                          <w:p w:rsidR="001926A6" w:rsidRDefault="00B82A13" w:rsidP="00303427">
                            <w:pPr>
                              <w:jc w:val="left"/>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4" o:spid="_x0000_s1025" type="#_x0000_t202" style="height:306.75pt;margin-left:17.15pt;margin-top:368.5pt;mso-height-percent:0;mso-height-relative:page;mso-width-percent:0;mso-width-relative:page;mso-wrap-distance-bottom:0;mso-wrap-distance-left:9pt;mso-wrap-distance-right:9pt;mso-wrap-distance-top:0;mso-wrap-style:square;position:absolute;v-text-anchor:top;visibility:visible;width:288.85pt;z-index:251659264" filled="f" stroked="f">
                <v:textbox>
                  <w:txbxContent>
                    <w:p w:rsidR="001926A6" w:rsidRPr="00E853B8" w:rsidP="00303427">
                      <w:pPr>
                        <w:pStyle w:val="Title"/>
                        <w:jc w:val="left"/>
                        <w:rPr>
                          <w:sz w:val="96"/>
                          <w:szCs w:val="96"/>
                        </w:rPr>
                      </w:pPr>
                      <w:r w:rsidRPr="00E853B8">
                        <w:rPr>
                          <w:sz w:val="96"/>
                          <w:szCs w:val="96"/>
                        </w:rPr>
                        <w:t>Lancashire County Pension Fund</w:t>
                      </w:r>
                    </w:p>
                    <w:p w:rsidR="001926A6" w:rsidRPr="00846AEA" w:rsidP="00303427">
                      <w:pPr>
                        <w:pStyle w:val="Title2"/>
                        <w:jc w:val="left"/>
                      </w:pPr>
                      <w:bookmarkStart w:id="0" w:name="_Toc307236626"/>
                      <w:r w:rsidRPr="00846AEA">
                        <w:t>S</w:t>
                      </w:r>
                      <w:r>
                        <w:t>tatement of Investment Principles</w:t>
                      </w:r>
                      <w:bookmarkEnd w:id="0"/>
                    </w:p>
                    <w:p w:rsidR="001926A6" w:rsidP="00303427">
                      <w:pPr>
                        <w:jc w:val="left"/>
                      </w:pPr>
                    </w:p>
                    <w:p w:rsidR="001926A6" w:rsidP="00303427">
                      <w:pPr>
                        <w:jc w:val="left"/>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4332605</wp:posOffset>
                </wp:positionH>
                <wp:positionV relativeFrom="paragraph">
                  <wp:posOffset>7363460</wp:posOffset>
                </wp:positionV>
                <wp:extent cx="2194560" cy="1120140"/>
                <wp:effectExtent l="0" t="0" r="0" b="381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26A6" w:rsidRDefault="00B82A13" w:rsidP="00303427">
                            <w:pPr>
                              <w:jc w:val="center"/>
                            </w:pPr>
                            <w:r>
                              <w:t xml:space="preserve">Lancashire County Council as administering authority of </w:t>
                            </w:r>
                            <w:r w:rsidRPr="00E853B8">
                              <w:rPr>
                                <w:b/>
                              </w:rPr>
                              <w:t xml:space="preserve">Lancashire County </w:t>
                            </w:r>
                            <w:r w:rsidRPr="00E853B8">
                              <w:rPr>
                                <w:b/>
                              </w:rPr>
                              <w:t>Pension Fund</w:t>
                            </w:r>
                          </w:p>
                          <w:p w:rsidR="001926A6" w:rsidRDefault="00B82A13"/>
                        </w:txbxContent>
                      </wps:txbx>
                      <wps:bodyPr rot="0" vert="horz" wrap="square" anchor="t" anchorCtr="0" upright="1">
                        <a:spAutoFit/>
                      </wps:bodyPr>
                    </wps:wsp>
                  </a:graphicData>
                </a:graphic>
              </wp:anchor>
            </w:drawing>
          </mc:Choice>
          <mc:Fallback>
            <w:pict>
              <v:shape id="Text Box 2" o:spid="_x0000_s1026" type="#_x0000_t202" style="height:88.2pt;margin-left:341.15pt;margin-top:579.8pt;mso-height-percent:200;mso-height-relative:margin;mso-width-percent:0;mso-width-relative:margin;mso-wrap-distance-bottom:0;mso-wrap-distance-left:9pt;mso-wrap-distance-right:9pt;mso-wrap-distance-top:0;mso-wrap-style:square;position:absolute;v-text-anchor:top;visibility:visible;width:172.8pt;z-index:251661312" stroked="f">
                <v:textbox style="mso-fit-shape-to-text:t">
                  <w:txbxContent>
                    <w:p w:rsidR="001926A6" w:rsidP="00303427">
                      <w:pPr>
                        <w:jc w:val="center"/>
                      </w:pPr>
                      <w:r>
                        <w:t xml:space="preserve">Lancashire County Council as administering authority of </w:t>
                      </w:r>
                      <w:r w:rsidRPr="00E853B8">
                        <w:rPr>
                          <w:b/>
                        </w:rPr>
                        <w:t>Lancashire County Pension Fund</w:t>
                      </w:r>
                    </w:p>
                    <w:p w:rsidR="001926A6"/>
                  </w:txbxContent>
                </v:textbox>
              </v:shape>
            </w:pict>
          </mc:Fallback>
        </mc:AlternateContent>
      </w:r>
    </w:p>
    <w:p w:rsidR="00B82A13" w:rsidRPr="00B82A13" w:rsidRDefault="00B82A13" w:rsidP="00B82A13"/>
    <w:p w:rsidR="00B82A13" w:rsidRPr="00B82A13" w:rsidRDefault="00B82A13" w:rsidP="00B82A13"/>
    <w:p w:rsidR="00B82A13" w:rsidRPr="00B82A13" w:rsidRDefault="00B82A13" w:rsidP="00B82A13"/>
    <w:p w:rsidR="00B82A13" w:rsidRDefault="00B82A13" w:rsidP="00B82A13"/>
    <w:p w:rsidR="00B82A13" w:rsidRPr="00B82A13" w:rsidRDefault="00B82A13" w:rsidP="00B82A13">
      <w:pPr>
        <w:rPr>
          <w:b/>
        </w:rPr>
      </w:pPr>
      <w:r w:rsidRPr="00B82A13">
        <w:rPr>
          <w:b/>
        </w:rPr>
        <w:t>Appendix 'A'</w:t>
      </w:r>
    </w:p>
    <w:p w:rsidR="00B82A13" w:rsidRDefault="00B82A13" w:rsidP="00B82A13"/>
    <w:p w:rsidR="00641054" w:rsidRPr="00B82A13" w:rsidRDefault="00B82A13" w:rsidP="00B82A13">
      <w:pPr>
        <w:sectPr w:rsidR="00641054" w:rsidRPr="00B82A13" w:rsidSect="00641054">
          <w:headerReference w:type="default" r:id="rId8"/>
          <w:headerReference w:type="first" r:id="rId9"/>
          <w:pgSz w:w="11900" w:h="16840" w:code="9"/>
          <w:pgMar w:top="720" w:right="720" w:bottom="720" w:left="720" w:header="709" w:footer="709" w:gutter="0"/>
          <w:cols w:space="292"/>
          <w:titlePg/>
          <w:docGrid w:linePitch="326"/>
        </w:sectPr>
      </w:pPr>
      <w:bookmarkStart w:id="1" w:name="_GoBack"/>
      <w:bookmarkEnd w:id="1"/>
    </w:p>
    <w:p w:rsidR="006D7BB1" w:rsidRDefault="00B82A13" w:rsidP="00BD6097">
      <w:pPr>
        <w:pStyle w:val="TOCHeader"/>
        <w:rPr>
          <w:sz w:val="40"/>
          <w:szCs w:val="40"/>
        </w:rPr>
      </w:pPr>
      <w:bookmarkStart w:id="2" w:name="_Toc304199307"/>
      <w:r w:rsidRPr="00BD6097">
        <w:rPr>
          <w:sz w:val="40"/>
          <w:szCs w:val="40"/>
        </w:rPr>
        <w:lastRenderedPageBreak/>
        <w:t>Contents</w:t>
      </w:r>
    </w:p>
    <w:p w:rsidR="00A51A78" w:rsidRDefault="00B82A13" w:rsidP="00F07D42">
      <w:pPr>
        <w:pStyle w:val="Instructiontext"/>
        <w:sectPr w:rsidR="00A51A78" w:rsidSect="00EC34EA">
          <w:headerReference w:type="default" r:id="rId10"/>
          <w:pgSz w:w="11900" w:h="16840" w:code="9"/>
          <w:pgMar w:top="1440" w:right="1440" w:bottom="1440" w:left="1440" w:header="283" w:footer="283" w:gutter="0"/>
          <w:pgNumType w:start="1"/>
          <w:cols w:space="292"/>
          <w:docGrid w:linePitch="326"/>
        </w:sectPr>
      </w:pPr>
    </w:p>
    <w:p w:rsidR="007468E3" w:rsidRPr="00A51A78" w:rsidRDefault="00B82A13" w:rsidP="00F07D42">
      <w:pPr>
        <w:pStyle w:val="Instructiontext"/>
        <w:rPr>
          <w:color w:val="auto"/>
        </w:rPr>
      </w:pPr>
    </w:p>
    <w:p w:rsidR="00A51A78" w:rsidRPr="00A51A78" w:rsidRDefault="00B82A13" w:rsidP="00F07D42">
      <w:pPr>
        <w:pStyle w:val="Instructiontext"/>
        <w:rPr>
          <w:color w:val="auto"/>
        </w:rPr>
      </w:pPr>
    </w:p>
    <w:p w:rsidR="00A51A78" w:rsidRPr="0013125B" w:rsidRDefault="00B82A13" w:rsidP="00A51A78">
      <w:pPr>
        <w:pStyle w:val="Instructiontext"/>
        <w:numPr>
          <w:ilvl w:val="0"/>
          <w:numId w:val="12"/>
        </w:numPr>
        <w:tabs>
          <w:tab w:val="left" w:pos="1134"/>
          <w:tab w:val="right" w:pos="8505"/>
        </w:tabs>
        <w:spacing w:before="240" w:after="240"/>
        <w:ind w:left="714" w:hanging="357"/>
        <w:rPr>
          <w:i w:val="0"/>
          <w:color w:val="auto"/>
          <w:sz w:val="24"/>
          <w:szCs w:val="24"/>
        </w:rPr>
      </w:pPr>
      <w:r w:rsidRPr="0013125B">
        <w:rPr>
          <w:i w:val="0"/>
          <w:color w:val="auto"/>
          <w:sz w:val="24"/>
          <w:szCs w:val="24"/>
        </w:rPr>
        <w:t>Introduction</w:t>
      </w:r>
      <w:r w:rsidRPr="0013125B">
        <w:rPr>
          <w:i w:val="0"/>
          <w:color w:val="auto"/>
          <w:sz w:val="24"/>
          <w:szCs w:val="24"/>
        </w:rPr>
        <w:tab/>
      </w:r>
      <w:r w:rsidRPr="0013125B">
        <w:rPr>
          <w:i w:val="0"/>
          <w:color w:val="auto"/>
          <w:sz w:val="24"/>
          <w:szCs w:val="24"/>
        </w:rPr>
        <w:t>1</w:t>
      </w:r>
    </w:p>
    <w:p w:rsidR="00A51A78" w:rsidRPr="0013125B" w:rsidRDefault="00B82A13" w:rsidP="00A51A78">
      <w:pPr>
        <w:pStyle w:val="Instructiontext"/>
        <w:numPr>
          <w:ilvl w:val="0"/>
          <w:numId w:val="12"/>
        </w:numPr>
        <w:tabs>
          <w:tab w:val="left" w:pos="1134"/>
          <w:tab w:val="right" w:pos="8505"/>
        </w:tabs>
        <w:spacing w:before="240" w:after="240"/>
        <w:ind w:left="714" w:hanging="357"/>
        <w:rPr>
          <w:i w:val="0"/>
          <w:color w:val="auto"/>
          <w:sz w:val="24"/>
          <w:szCs w:val="24"/>
        </w:rPr>
      </w:pPr>
      <w:r w:rsidRPr="0013125B">
        <w:rPr>
          <w:i w:val="0"/>
          <w:color w:val="auto"/>
          <w:sz w:val="24"/>
          <w:szCs w:val="24"/>
        </w:rPr>
        <w:t>Responsibility for Investment Management</w:t>
      </w:r>
      <w:r w:rsidRPr="0013125B">
        <w:rPr>
          <w:i w:val="0"/>
          <w:color w:val="auto"/>
          <w:sz w:val="24"/>
          <w:szCs w:val="24"/>
        </w:rPr>
        <w:tab/>
      </w:r>
      <w:r w:rsidRPr="0013125B">
        <w:rPr>
          <w:i w:val="0"/>
          <w:color w:val="auto"/>
          <w:sz w:val="24"/>
          <w:szCs w:val="24"/>
        </w:rPr>
        <w:t>1</w:t>
      </w:r>
    </w:p>
    <w:p w:rsidR="00A51A78" w:rsidRPr="0013125B" w:rsidRDefault="00B82A13" w:rsidP="00A51A78">
      <w:pPr>
        <w:pStyle w:val="Instructiontext"/>
        <w:numPr>
          <w:ilvl w:val="0"/>
          <w:numId w:val="12"/>
        </w:numPr>
        <w:tabs>
          <w:tab w:val="left" w:pos="1134"/>
          <w:tab w:val="right" w:pos="8505"/>
        </w:tabs>
        <w:spacing w:before="240" w:after="240"/>
        <w:ind w:left="714" w:hanging="357"/>
        <w:rPr>
          <w:i w:val="0"/>
          <w:color w:val="auto"/>
          <w:sz w:val="24"/>
          <w:szCs w:val="24"/>
        </w:rPr>
      </w:pPr>
      <w:r w:rsidRPr="0013125B">
        <w:rPr>
          <w:i w:val="0"/>
          <w:color w:val="auto"/>
          <w:sz w:val="24"/>
          <w:szCs w:val="24"/>
        </w:rPr>
        <w:t>Pension Fund Committee</w:t>
      </w:r>
      <w:r w:rsidRPr="0013125B">
        <w:rPr>
          <w:i w:val="0"/>
          <w:color w:val="auto"/>
          <w:sz w:val="24"/>
          <w:szCs w:val="24"/>
        </w:rPr>
        <w:tab/>
      </w:r>
      <w:r w:rsidRPr="0013125B">
        <w:rPr>
          <w:i w:val="0"/>
          <w:color w:val="auto"/>
          <w:sz w:val="24"/>
          <w:szCs w:val="24"/>
        </w:rPr>
        <w:t>1</w:t>
      </w:r>
    </w:p>
    <w:p w:rsidR="00A51A78" w:rsidRPr="0013125B" w:rsidRDefault="00B82A13" w:rsidP="00A51A78">
      <w:pPr>
        <w:pStyle w:val="Instructiontext"/>
        <w:numPr>
          <w:ilvl w:val="0"/>
          <w:numId w:val="12"/>
        </w:numPr>
        <w:tabs>
          <w:tab w:val="left" w:pos="1134"/>
          <w:tab w:val="right" w:pos="8505"/>
        </w:tabs>
        <w:spacing w:before="240" w:after="240"/>
        <w:ind w:left="714" w:hanging="357"/>
        <w:rPr>
          <w:i w:val="0"/>
          <w:color w:val="auto"/>
          <w:sz w:val="24"/>
          <w:szCs w:val="24"/>
        </w:rPr>
      </w:pPr>
      <w:r w:rsidRPr="0013125B">
        <w:rPr>
          <w:i w:val="0"/>
          <w:color w:val="auto"/>
          <w:sz w:val="24"/>
          <w:szCs w:val="24"/>
        </w:rPr>
        <w:t>Investment Panel</w:t>
      </w:r>
      <w:r w:rsidRPr="0013125B">
        <w:rPr>
          <w:i w:val="0"/>
          <w:color w:val="auto"/>
          <w:sz w:val="24"/>
          <w:szCs w:val="24"/>
        </w:rPr>
        <w:tab/>
      </w:r>
      <w:r w:rsidRPr="0013125B">
        <w:rPr>
          <w:i w:val="0"/>
          <w:color w:val="auto"/>
          <w:sz w:val="24"/>
          <w:szCs w:val="24"/>
        </w:rPr>
        <w:t>2</w:t>
      </w:r>
    </w:p>
    <w:p w:rsidR="00A51A78" w:rsidRPr="0013125B" w:rsidRDefault="00B82A13" w:rsidP="00A51A78">
      <w:pPr>
        <w:pStyle w:val="Instructiontext"/>
        <w:numPr>
          <w:ilvl w:val="0"/>
          <w:numId w:val="12"/>
        </w:numPr>
        <w:tabs>
          <w:tab w:val="left" w:pos="1134"/>
          <w:tab w:val="right" w:pos="8505"/>
        </w:tabs>
        <w:spacing w:before="240" w:after="240"/>
        <w:ind w:left="714" w:hanging="357"/>
        <w:rPr>
          <w:i w:val="0"/>
          <w:color w:val="auto"/>
          <w:sz w:val="24"/>
          <w:szCs w:val="24"/>
        </w:rPr>
      </w:pPr>
      <w:r w:rsidRPr="0013125B">
        <w:rPr>
          <w:i w:val="0"/>
          <w:color w:val="auto"/>
          <w:sz w:val="24"/>
          <w:szCs w:val="24"/>
        </w:rPr>
        <w:t>Investment Managers</w:t>
      </w:r>
      <w:r w:rsidRPr="0013125B">
        <w:rPr>
          <w:i w:val="0"/>
          <w:color w:val="auto"/>
          <w:sz w:val="24"/>
          <w:szCs w:val="24"/>
        </w:rPr>
        <w:tab/>
      </w:r>
      <w:r w:rsidRPr="0013125B">
        <w:rPr>
          <w:i w:val="0"/>
          <w:color w:val="auto"/>
          <w:sz w:val="24"/>
          <w:szCs w:val="24"/>
        </w:rPr>
        <w:t>2</w:t>
      </w:r>
    </w:p>
    <w:p w:rsidR="00A51A78" w:rsidRPr="0013125B" w:rsidRDefault="00B82A13" w:rsidP="00A51A78">
      <w:pPr>
        <w:pStyle w:val="Instructiontext"/>
        <w:numPr>
          <w:ilvl w:val="0"/>
          <w:numId w:val="12"/>
        </w:numPr>
        <w:tabs>
          <w:tab w:val="left" w:pos="1134"/>
          <w:tab w:val="right" w:pos="8505"/>
        </w:tabs>
        <w:spacing w:before="240" w:after="240"/>
        <w:ind w:left="714" w:hanging="357"/>
        <w:rPr>
          <w:i w:val="0"/>
          <w:color w:val="auto"/>
          <w:sz w:val="24"/>
          <w:szCs w:val="24"/>
        </w:rPr>
      </w:pPr>
      <w:r w:rsidRPr="0013125B">
        <w:rPr>
          <w:i w:val="0"/>
          <w:color w:val="auto"/>
          <w:sz w:val="24"/>
          <w:szCs w:val="24"/>
        </w:rPr>
        <w:t>Investment Objective</w:t>
      </w:r>
      <w:r w:rsidRPr="0013125B">
        <w:rPr>
          <w:i w:val="0"/>
          <w:color w:val="auto"/>
          <w:sz w:val="24"/>
          <w:szCs w:val="24"/>
        </w:rPr>
        <w:tab/>
      </w:r>
      <w:r>
        <w:rPr>
          <w:i w:val="0"/>
          <w:color w:val="auto"/>
          <w:sz w:val="24"/>
          <w:szCs w:val="24"/>
        </w:rPr>
        <w:t>3</w:t>
      </w:r>
    </w:p>
    <w:p w:rsidR="00A51A78" w:rsidRPr="0013125B" w:rsidRDefault="00B82A13" w:rsidP="00A51A78">
      <w:pPr>
        <w:pStyle w:val="Instructiontext"/>
        <w:numPr>
          <w:ilvl w:val="0"/>
          <w:numId w:val="12"/>
        </w:numPr>
        <w:tabs>
          <w:tab w:val="left" w:pos="1134"/>
          <w:tab w:val="right" w:pos="8505"/>
        </w:tabs>
        <w:spacing w:before="240" w:after="240"/>
        <w:ind w:left="714" w:hanging="357"/>
        <w:rPr>
          <w:i w:val="0"/>
          <w:color w:val="auto"/>
          <w:sz w:val="24"/>
          <w:szCs w:val="24"/>
        </w:rPr>
      </w:pPr>
      <w:r w:rsidRPr="0013125B">
        <w:rPr>
          <w:i w:val="0"/>
          <w:color w:val="auto"/>
          <w:sz w:val="24"/>
          <w:szCs w:val="24"/>
        </w:rPr>
        <w:t>Types of Investment</w:t>
      </w:r>
      <w:r w:rsidRPr="0013125B">
        <w:rPr>
          <w:i w:val="0"/>
          <w:color w:val="auto"/>
          <w:sz w:val="24"/>
          <w:szCs w:val="24"/>
        </w:rPr>
        <w:tab/>
      </w:r>
      <w:r>
        <w:rPr>
          <w:i w:val="0"/>
          <w:color w:val="auto"/>
          <w:sz w:val="24"/>
          <w:szCs w:val="24"/>
        </w:rPr>
        <w:t>4</w:t>
      </w:r>
    </w:p>
    <w:p w:rsidR="00A51A78" w:rsidRPr="0013125B" w:rsidRDefault="00B82A13" w:rsidP="00A51A78">
      <w:pPr>
        <w:pStyle w:val="Instructiontext"/>
        <w:numPr>
          <w:ilvl w:val="0"/>
          <w:numId w:val="12"/>
        </w:numPr>
        <w:tabs>
          <w:tab w:val="left" w:pos="1134"/>
          <w:tab w:val="right" w:pos="8505"/>
        </w:tabs>
        <w:spacing w:before="240" w:after="240"/>
        <w:ind w:left="714" w:hanging="357"/>
        <w:rPr>
          <w:i w:val="0"/>
          <w:color w:val="auto"/>
          <w:sz w:val="24"/>
          <w:szCs w:val="24"/>
        </w:rPr>
      </w:pPr>
      <w:r w:rsidRPr="0013125B">
        <w:rPr>
          <w:i w:val="0"/>
          <w:color w:val="auto"/>
          <w:sz w:val="24"/>
          <w:szCs w:val="24"/>
        </w:rPr>
        <w:t xml:space="preserve">Balance between different types </w:t>
      </w:r>
      <w:r w:rsidRPr="0013125B">
        <w:rPr>
          <w:i w:val="0"/>
          <w:color w:val="auto"/>
          <w:sz w:val="24"/>
          <w:szCs w:val="24"/>
        </w:rPr>
        <w:t>of investment</w:t>
      </w:r>
      <w:r w:rsidRPr="0013125B">
        <w:rPr>
          <w:i w:val="0"/>
          <w:color w:val="auto"/>
          <w:sz w:val="24"/>
          <w:szCs w:val="24"/>
        </w:rPr>
        <w:tab/>
      </w:r>
      <w:r>
        <w:rPr>
          <w:i w:val="0"/>
          <w:color w:val="auto"/>
          <w:sz w:val="24"/>
          <w:szCs w:val="24"/>
        </w:rPr>
        <w:t>5</w:t>
      </w:r>
    </w:p>
    <w:p w:rsidR="00A51A78" w:rsidRPr="0013125B" w:rsidRDefault="00B82A13" w:rsidP="00A51A78">
      <w:pPr>
        <w:pStyle w:val="Instructiontext"/>
        <w:numPr>
          <w:ilvl w:val="0"/>
          <w:numId w:val="12"/>
        </w:numPr>
        <w:tabs>
          <w:tab w:val="left" w:pos="1134"/>
          <w:tab w:val="right" w:pos="8505"/>
        </w:tabs>
        <w:spacing w:before="240" w:after="240"/>
        <w:ind w:left="714" w:hanging="357"/>
        <w:rPr>
          <w:i w:val="0"/>
          <w:color w:val="auto"/>
          <w:sz w:val="24"/>
          <w:szCs w:val="24"/>
        </w:rPr>
      </w:pPr>
      <w:r w:rsidRPr="0013125B">
        <w:rPr>
          <w:i w:val="0"/>
          <w:color w:val="auto"/>
          <w:sz w:val="24"/>
          <w:szCs w:val="24"/>
        </w:rPr>
        <w:t>Policy on Risk</w:t>
      </w:r>
      <w:r w:rsidRPr="0013125B">
        <w:rPr>
          <w:i w:val="0"/>
          <w:color w:val="auto"/>
          <w:sz w:val="24"/>
          <w:szCs w:val="24"/>
        </w:rPr>
        <w:tab/>
      </w:r>
      <w:r>
        <w:rPr>
          <w:i w:val="0"/>
          <w:color w:val="auto"/>
          <w:sz w:val="24"/>
          <w:szCs w:val="24"/>
        </w:rPr>
        <w:t>7</w:t>
      </w:r>
    </w:p>
    <w:p w:rsidR="00A51A78" w:rsidRPr="0013125B" w:rsidRDefault="00B82A13" w:rsidP="00A51A78">
      <w:pPr>
        <w:pStyle w:val="Instructiontext"/>
        <w:numPr>
          <w:ilvl w:val="0"/>
          <w:numId w:val="12"/>
        </w:numPr>
        <w:tabs>
          <w:tab w:val="left" w:pos="1134"/>
          <w:tab w:val="right" w:pos="8505"/>
        </w:tabs>
        <w:spacing w:before="240" w:after="240"/>
        <w:ind w:left="714" w:hanging="357"/>
        <w:rPr>
          <w:i w:val="0"/>
          <w:color w:val="auto"/>
          <w:sz w:val="24"/>
          <w:szCs w:val="24"/>
        </w:rPr>
      </w:pPr>
      <w:r w:rsidRPr="0013125B">
        <w:rPr>
          <w:i w:val="0"/>
          <w:color w:val="auto"/>
          <w:sz w:val="24"/>
          <w:szCs w:val="24"/>
        </w:rPr>
        <w:t>The expected return on investments</w:t>
      </w:r>
      <w:r w:rsidRPr="0013125B">
        <w:rPr>
          <w:i w:val="0"/>
          <w:color w:val="auto"/>
          <w:sz w:val="24"/>
          <w:szCs w:val="24"/>
        </w:rPr>
        <w:tab/>
      </w:r>
      <w:r>
        <w:rPr>
          <w:i w:val="0"/>
          <w:color w:val="auto"/>
          <w:sz w:val="24"/>
          <w:szCs w:val="24"/>
        </w:rPr>
        <w:t>8</w:t>
      </w:r>
    </w:p>
    <w:p w:rsidR="00A51A78" w:rsidRPr="0013125B" w:rsidRDefault="00B82A13" w:rsidP="00A51A78">
      <w:pPr>
        <w:pStyle w:val="Instructiontext"/>
        <w:numPr>
          <w:ilvl w:val="0"/>
          <w:numId w:val="12"/>
        </w:numPr>
        <w:tabs>
          <w:tab w:val="left" w:pos="1134"/>
          <w:tab w:val="right" w:pos="8505"/>
        </w:tabs>
        <w:spacing w:before="240" w:after="240"/>
        <w:ind w:left="714" w:hanging="357"/>
        <w:rPr>
          <w:i w:val="0"/>
          <w:color w:val="auto"/>
          <w:sz w:val="24"/>
          <w:szCs w:val="24"/>
        </w:rPr>
      </w:pPr>
      <w:r w:rsidRPr="0013125B">
        <w:rPr>
          <w:i w:val="0"/>
          <w:color w:val="auto"/>
          <w:sz w:val="24"/>
          <w:szCs w:val="24"/>
        </w:rPr>
        <w:t>Monitoring and review</w:t>
      </w:r>
      <w:r w:rsidRPr="0013125B">
        <w:rPr>
          <w:i w:val="0"/>
          <w:color w:val="auto"/>
          <w:sz w:val="24"/>
          <w:szCs w:val="24"/>
        </w:rPr>
        <w:tab/>
      </w:r>
      <w:r>
        <w:rPr>
          <w:i w:val="0"/>
          <w:color w:val="auto"/>
          <w:sz w:val="24"/>
          <w:szCs w:val="24"/>
        </w:rPr>
        <w:t>9</w:t>
      </w:r>
    </w:p>
    <w:p w:rsidR="00A51A78" w:rsidRPr="0013125B" w:rsidRDefault="00B82A13" w:rsidP="00A51A78">
      <w:pPr>
        <w:pStyle w:val="Instructiontext"/>
        <w:numPr>
          <w:ilvl w:val="0"/>
          <w:numId w:val="12"/>
        </w:numPr>
        <w:tabs>
          <w:tab w:val="left" w:pos="1134"/>
          <w:tab w:val="right" w:pos="8505"/>
        </w:tabs>
        <w:spacing w:before="240" w:after="240"/>
        <w:ind w:left="714" w:hanging="357"/>
        <w:rPr>
          <w:i w:val="0"/>
          <w:color w:val="auto"/>
          <w:sz w:val="24"/>
          <w:szCs w:val="24"/>
        </w:rPr>
      </w:pPr>
      <w:r w:rsidRPr="0013125B">
        <w:rPr>
          <w:i w:val="0"/>
          <w:color w:val="auto"/>
          <w:sz w:val="24"/>
          <w:szCs w:val="24"/>
        </w:rPr>
        <w:t>Policy on realisation of investments</w:t>
      </w:r>
      <w:r w:rsidRPr="0013125B">
        <w:rPr>
          <w:i w:val="0"/>
          <w:color w:val="auto"/>
          <w:sz w:val="24"/>
          <w:szCs w:val="24"/>
        </w:rPr>
        <w:tab/>
      </w:r>
      <w:r>
        <w:rPr>
          <w:i w:val="0"/>
          <w:color w:val="auto"/>
          <w:sz w:val="24"/>
          <w:szCs w:val="24"/>
        </w:rPr>
        <w:t>9</w:t>
      </w:r>
    </w:p>
    <w:p w:rsidR="00A51A78" w:rsidRPr="00160C0D" w:rsidRDefault="00B82A13" w:rsidP="002827DF">
      <w:pPr>
        <w:pStyle w:val="Heading4"/>
        <w:numPr>
          <w:ilvl w:val="0"/>
          <w:numId w:val="12"/>
        </w:numPr>
        <w:tabs>
          <w:tab w:val="left" w:pos="1134"/>
          <w:tab w:val="right" w:pos="8505"/>
        </w:tabs>
        <w:spacing w:after="240"/>
        <w:ind w:left="714" w:hanging="357"/>
        <w:jc w:val="both"/>
        <w:rPr>
          <w:b w:val="0"/>
          <w:sz w:val="24"/>
          <w:szCs w:val="24"/>
        </w:rPr>
      </w:pPr>
      <w:r w:rsidRPr="00160C0D">
        <w:rPr>
          <w:b w:val="0"/>
          <w:sz w:val="24"/>
          <w:szCs w:val="24"/>
        </w:rPr>
        <w:t>Corporate Governance and Responsible Investment</w:t>
      </w:r>
      <w:r w:rsidRPr="00160C0D">
        <w:rPr>
          <w:b w:val="0"/>
          <w:sz w:val="24"/>
          <w:szCs w:val="24"/>
        </w:rPr>
        <w:tab/>
      </w:r>
      <w:r>
        <w:rPr>
          <w:b w:val="0"/>
          <w:sz w:val="24"/>
          <w:szCs w:val="24"/>
        </w:rPr>
        <w:t>9</w:t>
      </w:r>
    </w:p>
    <w:p w:rsidR="00A51A78" w:rsidRPr="0013125B" w:rsidRDefault="00B82A13" w:rsidP="00A51A78">
      <w:pPr>
        <w:pStyle w:val="Instructiontext"/>
        <w:numPr>
          <w:ilvl w:val="0"/>
          <w:numId w:val="12"/>
        </w:numPr>
        <w:tabs>
          <w:tab w:val="left" w:pos="1134"/>
          <w:tab w:val="right" w:pos="8505"/>
        </w:tabs>
        <w:spacing w:before="240" w:after="240"/>
        <w:ind w:left="714" w:hanging="357"/>
        <w:rPr>
          <w:i w:val="0"/>
          <w:color w:val="auto"/>
          <w:sz w:val="24"/>
          <w:szCs w:val="24"/>
        </w:rPr>
      </w:pPr>
      <w:r w:rsidRPr="0013125B">
        <w:rPr>
          <w:i w:val="0"/>
          <w:color w:val="auto"/>
          <w:sz w:val="24"/>
          <w:szCs w:val="24"/>
        </w:rPr>
        <w:t>Principles of Investment Practice</w:t>
      </w:r>
      <w:r w:rsidRPr="0013125B">
        <w:rPr>
          <w:i w:val="0"/>
          <w:color w:val="auto"/>
          <w:sz w:val="24"/>
          <w:szCs w:val="24"/>
        </w:rPr>
        <w:tab/>
        <w:t>1</w:t>
      </w:r>
      <w:r>
        <w:rPr>
          <w:i w:val="0"/>
          <w:color w:val="auto"/>
          <w:sz w:val="24"/>
          <w:szCs w:val="24"/>
        </w:rPr>
        <w:t>2</w:t>
      </w:r>
    </w:p>
    <w:p w:rsidR="00BE3D97" w:rsidRDefault="00B82A13" w:rsidP="00DB368D">
      <w:pPr>
        <w:sectPr w:rsidR="00BE3D97" w:rsidSect="00A51A78">
          <w:type w:val="continuous"/>
          <w:pgSz w:w="11900" w:h="16840" w:code="9"/>
          <w:pgMar w:top="1440" w:right="1440" w:bottom="1440" w:left="1440" w:header="283" w:footer="283" w:gutter="0"/>
          <w:pgNumType w:start="1"/>
          <w:cols w:space="292"/>
          <w:docGrid w:linePitch="326"/>
        </w:sectPr>
      </w:pPr>
    </w:p>
    <w:p w:rsidR="0003444C" w:rsidRPr="0003444C" w:rsidRDefault="00B82A13" w:rsidP="0003444C"/>
    <w:p w:rsidR="0003444C" w:rsidRPr="0003444C" w:rsidRDefault="00B82A13" w:rsidP="0003444C"/>
    <w:p w:rsidR="0003444C" w:rsidRPr="0003444C" w:rsidRDefault="00B82A13" w:rsidP="0003444C"/>
    <w:p w:rsidR="0003444C" w:rsidRPr="0003444C" w:rsidRDefault="00B82A13" w:rsidP="0003444C"/>
    <w:p w:rsidR="0003444C" w:rsidRPr="0003444C" w:rsidRDefault="00B82A13" w:rsidP="0003444C"/>
    <w:p w:rsidR="0003444C" w:rsidRDefault="00B82A13" w:rsidP="0003444C">
      <w:pPr>
        <w:tabs>
          <w:tab w:val="left" w:pos="2207"/>
        </w:tabs>
      </w:pPr>
      <w:r>
        <w:tab/>
      </w:r>
    </w:p>
    <w:p w:rsidR="0003444C" w:rsidRDefault="00B82A13" w:rsidP="0003444C"/>
    <w:p w:rsidR="0003444C" w:rsidRDefault="00B82A13" w:rsidP="0003444C"/>
    <w:p w:rsidR="0003444C" w:rsidRPr="0003444C" w:rsidRDefault="00B82A13" w:rsidP="0003444C"/>
    <w:p w:rsidR="0003444C" w:rsidRPr="0003444C" w:rsidRDefault="00B82A13" w:rsidP="0003444C"/>
    <w:p w:rsidR="0003444C" w:rsidRPr="0003444C" w:rsidRDefault="00B82A13" w:rsidP="0003444C"/>
    <w:p w:rsidR="0003444C" w:rsidRDefault="00B82A13" w:rsidP="0003444C"/>
    <w:p w:rsidR="0003444C" w:rsidRDefault="00B82A13" w:rsidP="0003444C"/>
    <w:p w:rsidR="00314B7E" w:rsidRPr="0003444C" w:rsidRDefault="00B82A13" w:rsidP="0003444C">
      <w:pPr>
        <w:sectPr w:rsidR="00314B7E" w:rsidRPr="0003444C" w:rsidSect="00BE3D97">
          <w:footerReference w:type="default" r:id="rId11"/>
          <w:pgSz w:w="11900" w:h="16840" w:code="9"/>
          <w:pgMar w:top="1440" w:right="1440" w:bottom="1440" w:left="1440" w:header="283" w:footer="283" w:gutter="0"/>
          <w:pgNumType w:start="1"/>
          <w:cols w:space="292"/>
          <w:docGrid w:linePitch="326"/>
        </w:sectPr>
      </w:pPr>
    </w:p>
    <w:p w:rsidR="006D7BB1" w:rsidRDefault="00B82A13" w:rsidP="000E00B0">
      <w:pPr>
        <w:sectPr w:rsidR="006D7BB1" w:rsidSect="00BE3D97">
          <w:pgSz w:w="11900" w:h="16840" w:code="9"/>
          <w:pgMar w:top="1440" w:right="1440" w:bottom="1440" w:left="1440" w:header="283" w:footer="283" w:gutter="0"/>
          <w:pgNumType w:start="1"/>
          <w:cols w:space="292"/>
          <w:docGrid w:linePitch="326"/>
        </w:sectPr>
      </w:pPr>
    </w:p>
    <w:bookmarkEnd w:id="2"/>
    <w:p w:rsidR="00334FD0" w:rsidRDefault="00B82A13" w:rsidP="00334FD0">
      <w:pPr>
        <w:pStyle w:val="Heading3"/>
        <w:rPr>
          <w:rFonts w:cs="Arial"/>
          <w:i w:val="0"/>
        </w:rPr>
      </w:pPr>
      <w:r>
        <w:rPr>
          <w:rFonts w:cs="Arial"/>
          <w:i w:val="0"/>
        </w:rPr>
        <w:t>Lancashire County Pension Fund</w:t>
      </w:r>
    </w:p>
    <w:p w:rsidR="00334FD0" w:rsidRPr="00075B45" w:rsidRDefault="00B82A13" w:rsidP="00334FD0"/>
    <w:p w:rsidR="00334FD0" w:rsidRPr="008C7F7C" w:rsidRDefault="00B82A13" w:rsidP="00334FD0">
      <w:pPr>
        <w:pStyle w:val="Heading3"/>
        <w:rPr>
          <w:i w:val="0"/>
          <w:sz w:val="16"/>
        </w:rPr>
      </w:pPr>
      <w:r w:rsidRPr="008C7F7C">
        <w:rPr>
          <w:rFonts w:cs="Arial"/>
          <w:i w:val="0"/>
        </w:rPr>
        <w:t xml:space="preserve">Statement of Investment Principles </w:t>
      </w:r>
    </w:p>
    <w:p w:rsidR="00334FD0" w:rsidRPr="008C7F7C" w:rsidRDefault="00B82A13" w:rsidP="00334FD0">
      <w:pPr>
        <w:rPr>
          <w:rFonts w:cs="Arial"/>
          <w:sz w:val="16"/>
        </w:rPr>
      </w:pPr>
    </w:p>
    <w:p w:rsidR="00334FD0" w:rsidRPr="00997F85" w:rsidRDefault="00B82A13" w:rsidP="00334FD0">
      <w:pPr>
        <w:pStyle w:val="Heading4"/>
        <w:rPr>
          <w:sz w:val="24"/>
          <w:szCs w:val="24"/>
        </w:rPr>
      </w:pPr>
      <w:r w:rsidRPr="00997F85">
        <w:rPr>
          <w:sz w:val="24"/>
          <w:szCs w:val="24"/>
        </w:rPr>
        <w:t>Introduction</w:t>
      </w:r>
    </w:p>
    <w:p w:rsidR="00334FD0" w:rsidRDefault="00B82A13" w:rsidP="00334FD0"/>
    <w:p w:rsidR="00334FD0" w:rsidRPr="006D2713" w:rsidRDefault="00B82A13" w:rsidP="0042413E">
      <w:r>
        <w:t>Lancashire County Council (“LCC”) is the administering authority of the Lancashire Co</w:t>
      </w:r>
      <w:r>
        <w:t xml:space="preserve">unty Pension Fund (the “Fund”).  This Statement of Investment Principles (“SIP”) sets out the principles governing its decisions about investments made by the Fund It </w:t>
      </w:r>
      <w:r w:rsidRPr="006D2713">
        <w:t xml:space="preserve">has been prepared in accordance with the Local Government Pension Scheme (Management and </w:t>
      </w:r>
      <w:r w:rsidRPr="006D2713">
        <w:t>Investment of Funds) Regulations 2009</w:t>
      </w:r>
      <w:r>
        <w:rPr>
          <w:i/>
          <w:iCs/>
          <w:sz w:val="22"/>
          <w:szCs w:val="22"/>
        </w:rPr>
        <w:t>.</w:t>
      </w:r>
    </w:p>
    <w:p w:rsidR="00334FD0" w:rsidRPr="008C7F7C" w:rsidRDefault="00B82A13" w:rsidP="0042413E">
      <w:pPr>
        <w:rPr>
          <w:rFonts w:cs="Arial"/>
          <w:sz w:val="16"/>
        </w:rPr>
      </w:pPr>
    </w:p>
    <w:p w:rsidR="00334FD0" w:rsidRDefault="00B82A13" w:rsidP="0042413E">
      <w:pPr>
        <w:rPr>
          <w:rFonts w:cs="Arial"/>
        </w:rPr>
      </w:pPr>
      <w:r w:rsidRPr="008C7F7C">
        <w:rPr>
          <w:rFonts w:cs="Arial"/>
        </w:rPr>
        <w:t xml:space="preserve">The Fund has produced the SIP following consultation with the Fund’s Investment Panel, and a representative of the Fund’s Actuary. </w:t>
      </w:r>
    </w:p>
    <w:p w:rsidR="00334FD0" w:rsidRPr="00F332F8" w:rsidRDefault="00B82A13" w:rsidP="0042413E">
      <w:pPr>
        <w:rPr>
          <w:rFonts w:cs="Arial"/>
          <w:sz w:val="20"/>
          <w:highlight w:val="yellow"/>
        </w:rPr>
      </w:pPr>
      <w:r w:rsidRPr="008C7F7C">
        <w:rPr>
          <w:rFonts w:cs="Arial"/>
        </w:rPr>
        <w:t xml:space="preserve"> </w:t>
      </w:r>
    </w:p>
    <w:p w:rsidR="00334FD0" w:rsidRPr="00997F85" w:rsidRDefault="00B82A13" w:rsidP="0042413E">
      <w:pPr>
        <w:pStyle w:val="Heading4"/>
        <w:jc w:val="both"/>
        <w:rPr>
          <w:sz w:val="24"/>
          <w:szCs w:val="24"/>
        </w:rPr>
      </w:pPr>
      <w:r w:rsidRPr="00997F85">
        <w:rPr>
          <w:sz w:val="24"/>
          <w:szCs w:val="24"/>
        </w:rPr>
        <w:t>Responsibility for Investment Management</w:t>
      </w:r>
    </w:p>
    <w:p w:rsidR="00334FD0" w:rsidRPr="008C7F7C" w:rsidRDefault="00B82A13" w:rsidP="0042413E">
      <w:pPr>
        <w:rPr>
          <w:rFonts w:cs="Arial"/>
          <w:sz w:val="20"/>
        </w:rPr>
      </w:pPr>
    </w:p>
    <w:p w:rsidR="00334FD0" w:rsidRPr="008C7F7C" w:rsidRDefault="00B82A13" w:rsidP="0042413E">
      <w:r w:rsidRPr="008C7F7C">
        <w:rPr>
          <w:rFonts w:cs="Arial"/>
        </w:rPr>
        <w:t>Lancashire County Council is responsible</w:t>
      </w:r>
      <w:r w:rsidRPr="008C7F7C">
        <w:rPr>
          <w:rFonts w:cs="Arial"/>
        </w:rPr>
        <w:t xml:space="preserve"> for administering the Fund under the Pension Scheme regulations 1997 (as amended).</w:t>
      </w:r>
      <w:r>
        <w:rPr>
          <w:rFonts w:cs="Arial"/>
        </w:rPr>
        <w:t xml:space="preserve"> </w:t>
      </w:r>
      <w:r w:rsidRPr="008C7F7C">
        <w:rPr>
          <w:rFonts w:cs="Arial"/>
        </w:rPr>
        <w:t xml:space="preserve">It </w:t>
      </w:r>
      <w:r w:rsidRPr="00127D40">
        <w:rPr>
          <w:rFonts w:cs="Arial"/>
        </w:rPr>
        <w:t>delegates</w:t>
      </w:r>
      <w:r>
        <w:rPr>
          <w:rFonts w:cs="Arial"/>
        </w:rPr>
        <w:t xml:space="preserve"> its</w:t>
      </w:r>
      <w:r w:rsidRPr="008C7F7C">
        <w:rPr>
          <w:rFonts w:cs="Arial"/>
        </w:rPr>
        <w:t xml:space="preserve"> responsibilities to:</w:t>
      </w:r>
    </w:p>
    <w:p w:rsidR="00334FD0" w:rsidRPr="008C7F7C" w:rsidRDefault="00B82A13" w:rsidP="0042413E">
      <w:pPr>
        <w:rPr>
          <w:rFonts w:cs="Arial"/>
          <w:sz w:val="20"/>
        </w:rPr>
      </w:pPr>
    </w:p>
    <w:p w:rsidR="00334FD0" w:rsidRPr="008C7F7C" w:rsidRDefault="00B82A13" w:rsidP="0042413E">
      <w:pPr>
        <w:numPr>
          <w:ilvl w:val="0"/>
          <w:numId w:val="6"/>
        </w:numPr>
        <w:autoSpaceDE/>
        <w:autoSpaceDN/>
        <w:adjustRightInd/>
        <w:spacing w:after="0"/>
      </w:pPr>
      <w:r w:rsidRPr="008C7F7C">
        <w:t>The Pension Fund Committee</w:t>
      </w:r>
      <w:r>
        <w:t>;</w:t>
      </w:r>
      <w:r w:rsidRPr="008C7F7C">
        <w:t xml:space="preserve"> </w:t>
      </w:r>
    </w:p>
    <w:p w:rsidR="00334FD0" w:rsidRPr="008C7F7C" w:rsidRDefault="00B82A13" w:rsidP="0042413E">
      <w:pPr>
        <w:numPr>
          <w:ilvl w:val="0"/>
          <w:numId w:val="6"/>
        </w:numPr>
        <w:autoSpaceDE/>
        <w:autoSpaceDN/>
        <w:adjustRightInd/>
        <w:spacing w:after="0"/>
      </w:pPr>
      <w:r w:rsidRPr="008C7F7C">
        <w:t>The Fund's Investment Panel;</w:t>
      </w:r>
    </w:p>
    <w:p w:rsidR="00334FD0" w:rsidRDefault="00B82A13" w:rsidP="0042413E">
      <w:pPr>
        <w:numPr>
          <w:ilvl w:val="0"/>
          <w:numId w:val="6"/>
        </w:numPr>
        <w:autoSpaceDE/>
        <w:autoSpaceDN/>
        <w:adjustRightInd/>
        <w:spacing w:after="0"/>
      </w:pPr>
      <w:r w:rsidRPr="008C7F7C">
        <w:t>The Fund's Custodian</w:t>
      </w:r>
    </w:p>
    <w:p w:rsidR="0070445F" w:rsidRPr="008C7F7C" w:rsidRDefault="00B82A13" w:rsidP="0042413E">
      <w:pPr>
        <w:numPr>
          <w:ilvl w:val="0"/>
          <w:numId w:val="6"/>
        </w:numPr>
        <w:autoSpaceDE/>
        <w:autoSpaceDN/>
        <w:adjustRightInd/>
        <w:spacing w:after="0"/>
      </w:pPr>
      <w:r>
        <w:t>The Local Pensions Partnership</w:t>
      </w:r>
      <w:r>
        <w:t xml:space="preserve"> Investments Limited (“LPP I”)</w:t>
      </w:r>
    </w:p>
    <w:p w:rsidR="00334FD0" w:rsidRPr="008C7F7C" w:rsidRDefault="00B82A13" w:rsidP="0042413E">
      <w:pPr>
        <w:numPr>
          <w:ilvl w:val="0"/>
          <w:numId w:val="6"/>
        </w:numPr>
        <w:autoSpaceDE/>
        <w:autoSpaceDN/>
        <w:adjustRightInd/>
        <w:spacing w:after="0"/>
      </w:pPr>
      <w:r w:rsidRPr="008C7F7C">
        <w:t xml:space="preserve">The </w:t>
      </w:r>
      <w:r>
        <w:t>Head of the Fund</w:t>
      </w:r>
    </w:p>
    <w:p w:rsidR="00334FD0" w:rsidRDefault="00B82A13" w:rsidP="0042413E">
      <w:pPr>
        <w:rPr>
          <w:rFonts w:cs="Arial"/>
          <w:sz w:val="20"/>
        </w:rPr>
      </w:pPr>
    </w:p>
    <w:p w:rsidR="00334FD0" w:rsidRPr="000009FD" w:rsidRDefault="00B82A13" w:rsidP="0042413E">
      <w:pPr>
        <w:rPr>
          <w:color w:val="auto"/>
        </w:rPr>
      </w:pPr>
      <w:r w:rsidRPr="000009FD">
        <w:rPr>
          <w:rFonts w:cs="Arial"/>
          <w:color w:val="auto"/>
        </w:rPr>
        <w:t xml:space="preserve">The division of responsibility is set out in detail in the Governance Policy Statement, which is available at </w:t>
      </w:r>
      <w:hyperlink r:id="rId12" w:history="1">
        <w:r w:rsidRPr="000009FD">
          <w:rPr>
            <w:rStyle w:val="Hyperlink"/>
            <w:color w:val="auto"/>
          </w:rPr>
          <w:t>www.yourpensionservice.org.uk</w:t>
        </w:r>
      </w:hyperlink>
      <w:r w:rsidRPr="000009FD">
        <w:rPr>
          <w:rFonts w:cs="Arial"/>
          <w:color w:val="auto"/>
        </w:rPr>
        <w:t xml:space="preserve"> or on requ</w:t>
      </w:r>
      <w:r w:rsidRPr="000009FD">
        <w:rPr>
          <w:rFonts w:cs="Arial"/>
          <w:color w:val="auto"/>
        </w:rPr>
        <w:t>est from the Fund, but in summary, responsibilities are allocated as follows:</w:t>
      </w:r>
    </w:p>
    <w:p w:rsidR="00334FD0" w:rsidRPr="000009FD" w:rsidRDefault="00B82A13" w:rsidP="0042413E">
      <w:pPr>
        <w:rPr>
          <w:rFonts w:cs="Arial"/>
          <w:color w:val="auto"/>
          <w:sz w:val="20"/>
        </w:rPr>
      </w:pPr>
    </w:p>
    <w:p w:rsidR="00334FD0" w:rsidRPr="000009FD" w:rsidRDefault="00B82A13" w:rsidP="0042413E">
      <w:pPr>
        <w:pStyle w:val="Heading4"/>
        <w:jc w:val="both"/>
        <w:rPr>
          <w:sz w:val="24"/>
          <w:szCs w:val="24"/>
        </w:rPr>
      </w:pPr>
      <w:r w:rsidRPr="000009FD">
        <w:rPr>
          <w:sz w:val="24"/>
          <w:szCs w:val="24"/>
        </w:rPr>
        <w:t>Pension Fund Committee</w:t>
      </w:r>
    </w:p>
    <w:p w:rsidR="00334FD0" w:rsidRPr="000009FD" w:rsidRDefault="00B82A13" w:rsidP="0042413E">
      <w:pPr>
        <w:rPr>
          <w:rFonts w:cs="Arial"/>
          <w:color w:val="auto"/>
          <w:sz w:val="20"/>
        </w:rPr>
      </w:pPr>
    </w:p>
    <w:p w:rsidR="00334FD0" w:rsidRPr="000009FD" w:rsidRDefault="00B82A13" w:rsidP="0042413E">
      <w:pPr>
        <w:rPr>
          <w:rFonts w:cs="Arial"/>
          <w:color w:val="auto"/>
          <w:sz w:val="20"/>
        </w:rPr>
      </w:pPr>
      <w:r w:rsidRPr="00140B2F">
        <w:rPr>
          <w:rFonts w:cs="Arial"/>
          <w:color w:val="auto"/>
        </w:rPr>
        <w:t>The Pension Fund Committee has overall responsibility for investment policy and monitoring overall performance. The Committee meets four times a year, an</w:t>
      </w:r>
      <w:r w:rsidRPr="00140B2F">
        <w:rPr>
          <w:rFonts w:cs="Arial"/>
          <w:color w:val="auto"/>
        </w:rPr>
        <w:t>d currently comprises 14 elected County Councillors, 4 representatives of the District Councils and Unitary Authorities within the Fund, 2 representatives of scheme members and a representative of the Higher and Further Education Sectors in Lancashire.</w:t>
      </w:r>
      <w:r w:rsidRPr="000009FD">
        <w:rPr>
          <w:rFonts w:cs="Arial"/>
          <w:color w:val="auto"/>
        </w:rPr>
        <w:t xml:space="preserve"> </w:t>
      </w:r>
      <w:r w:rsidRPr="000009FD">
        <w:rPr>
          <w:rFonts w:cs="Arial"/>
          <w:color w:val="auto"/>
          <w:sz w:val="20"/>
        </w:rPr>
        <w:br w:type="page"/>
      </w:r>
    </w:p>
    <w:p w:rsidR="00334FD0" w:rsidRPr="000009FD" w:rsidRDefault="00B82A13" w:rsidP="0042413E">
      <w:pPr>
        <w:pStyle w:val="Heading4"/>
        <w:jc w:val="both"/>
        <w:rPr>
          <w:sz w:val="24"/>
          <w:szCs w:val="24"/>
        </w:rPr>
      </w:pPr>
      <w:r w:rsidRPr="000009FD">
        <w:rPr>
          <w:sz w:val="24"/>
          <w:szCs w:val="24"/>
        </w:rPr>
        <w:t>I</w:t>
      </w:r>
      <w:r w:rsidRPr="000009FD">
        <w:rPr>
          <w:sz w:val="24"/>
          <w:szCs w:val="24"/>
        </w:rPr>
        <w:t>nvestment Panel</w:t>
      </w:r>
    </w:p>
    <w:p w:rsidR="00334FD0" w:rsidRPr="000009FD" w:rsidRDefault="00B82A13" w:rsidP="0042413E">
      <w:pPr>
        <w:rPr>
          <w:rFonts w:cs="Arial"/>
          <w:b/>
          <w:color w:val="auto"/>
        </w:rPr>
      </w:pPr>
    </w:p>
    <w:p w:rsidR="00334FD0" w:rsidRPr="0070445F" w:rsidRDefault="00B82A13" w:rsidP="0042413E">
      <w:pPr>
        <w:rPr>
          <w:color w:val="auto"/>
        </w:rPr>
      </w:pPr>
      <w:r w:rsidRPr="000009FD">
        <w:rPr>
          <w:rFonts w:cs="Arial"/>
          <w:color w:val="auto"/>
        </w:rPr>
        <w:t>The Investment Panel consists of two</w:t>
      </w:r>
      <w:r>
        <w:rPr>
          <w:rFonts w:cs="Arial"/>
          <w:color w:val="auto"/>
        </w:rPr>
        <w:t xml:space="preserve"> independent advisors and the head of the </w:t>
      </w:r>
      <w:r w:rsidRPr="000009FD">
        <w:rPr>
          <w:rFonts w:cs="Arial"/>
          <w:color w:val="auto"/>
        </w:rPr>
        <w:t xml:space="preserve">Fund (as Chair), </w:t>
      </w:r>
    </w:p>
    <w:p w:rsidR="00334FD0" w:rsidRPr="000009FD" w:rsidRDefault="00B82A13" w:rsidP="0042413E">
      <w:pPr>
        <w:rPr>
          <w:rFonts w:cs="Arial"/>
          <w:color w:val="auto"/>
          <w:highlight w:val="yellow"/>
        </w:rPr>
      </w:pPr>
      <w:r w:rsidRPr="000009FD">
        <w:rPr>
          <w:rFonts w:cs="Arial"/>
          <w:color w:val="auto"/>
        </w:rPr>
        <w:t xml:space="preserve">The Panel meets at least quarterly, or otherwise as necessary. The Panel may operate through sub groups to undertake particular tasks.  It formulates recommendations to the </w:t>
      </w:r>
      <w:r>
        <w:rPr>
          <w:rFonts w:cs="Arial"/>
          <w:color w:val="auto"/>
        </w:rPr>
        <w:t>Head of</w:t>
      </w:r>
      <w:r w:rsidRPr="000009FD">
        <w:rPr>
          <w:rFonts w:cs="Arial"/>
          <w:color w:val="auto"/>
        </w:rPr>
        <w:t xml:space="preserve"> the Fund and/or the Pensions Fund Committee through meetings of the full Pa</w:t>
      </w:r>
      <w:r w:rsidRPr="000009FD">
        <w:rPr>
          <w:rFonts w:cs="Arial"/>
          <w:color w:val="auto"/>
        </w:rPr>
        <w:t>nel.</w:t>
      </w:r>
    </w:p>
    <w:p w:rsidR="00334FD0" w:rsidRPr="000009FD" w:rsidRDefault="00B82A13" w:rsidP="0042413E">
      <w:pPr>
        <w:rPr>
          <w:color w:val="auto"/>
        </w:rPr>
      </w:pPr>
      <w:r w:rsidRPr="000009FD">
        <w:rPr>
          <w:rFonts w:cs="Arial"/>
          <w:color w:val="auto"/>
        </w:rPr>
        <w:t xml:space="preserve">The Panel is required to provide advice to the </w:t>
      </w:r>
      <w:r>
        <w:rPr>
          <w:rFonts w:cs="Arial"/>
          <w:color w:val="auto"/>
        </w:rPr>
        <w:t>Head</w:t>
      </w:r>
      <w:r w:rsidRPr="000009FD">
        <w:rPr>
          <w:rFonts w:cs="Arial"/>
          <w:color w:val="auto"/>
        </w:rPr>
        <w:t xml:space="preserve"> </w:t>
      </w:r>
      <w:r w:rsidRPr="000009FD">
        <w:rPr>
          <w:rFonts w:cs="Arial"/>
          <w:color w:val="auto"/>
        </w:rPr>
        <w:t>of the Fund regarding:</w:t>
      </w:r>
    </w:p>
    <w:p w:rsidR="0070445F" w:rsidRDefault="00B82A13" w:rsidP="00127D40">
      <w:pPr>
        <w:numPr>
          <w:ilvl w:val="0"/>
          <w:numId w:val="7"/>
        </w:numPr>
        <w:autoSpaceDE/>
        <w:autoSpaceDN/>
        <w:adjustRightInd/>
        <w:spacing w:after="0"/>
      </w:pPr>
      <w:r>
        <w:t>review the Fund's long term investment strategy and where necessary make recommendations to the Pension Fund Committee;</w:t>
      </w:r>
    </w:p>
    <w:p w:rsidR="0070445F" w:rsidRDefault="00B82A13" w:rsidP="00127D40">
      <w:pPr>
        <w:numPr>
          <w:ilvl w:val="0"/>
          <w:numId w:val="7"/>
        </w:numPr>
        <w:autoSpaceDE/>
        <w:autoSpaceDN/>
        <w:adjustRightInd/>
        <w:spacing w:after="0"/>
      </w:pPr>
      <w:r>
        <w:t>advise on strategic asset allocations proposed by LPP</w:t>
      </w:r>
      <w:r>
        <w:t xml:space="preserve"> I</w:t>
      </w:r>
    </w:p>
    <w:p w:rsidR="0070445F" w:rsidRPr="00127D40" w:rsidRDefault="00B82A13" w:rsidP="00127D40">
      <w:pPr>
        <w:numPr>
          <w:ilvl w:val="0"/>
          <w:numId w:val="7"/>
        </w:numPr>
        <w:autoSpaceDE/>
        <w:autoSpaceDN/>
        <w:adjustRightInd/>
        <w:spacing w:after="0"/>
        <w:rPr>
          <w:rFonts w:cs="Arial"/>
          <w:color w:val="auto"/>
        </w:rPr>
      </w:pPr>
      <w:r w:rsidRPr="00127D40">
        <w:rPr>
          <w:rFonts w:cs="Arial"/>
          <w:color w:val="auto"/>
        </w:rPr>
        <w:t>Restrict and control the range of asset allocations used by LPP</w:t>
      </w:r>
      <w:r>
        <w:rPr>
          <w:rFonts w:cs="Arial"/>
          <w:color w:val="auto"/>
        </w:rPr>
        <w:t xml:space="preserve"> I</w:t>
      </w:r>
      <w:r w:rsidRPr="00127D40">
        <w:rPr>
          <w:rFonts w:cs="Arial"/>
          <w:color w:val="auto"/>
        </w:rPr>
        <w:t xml:space="preserve"> as set out in the Statement of Investment Principles</w:t>
      </w:r>
    </w:p>
    <w:p w:rsidR="0070445F" w:rsidRPr="00127D40" w:rsidRDefault="00B82A13" w:rsidP="00127D40">
      <w:pPr>
        <w:numPr>
          <w:ilvl w:val="0"/>
          <w:numId w:val="7"/>
        </w:numPr>
        <w:autoSpaceDE/>
        <w:autoSpaceDN/>
        <w:adjustRightInd/>
        <w:spacing w:after="0"/>
        <w:rPr>
          <w:rFonts w:cs="Arial"/>
          <w:color w:val="auto"/>
        </w:rPr>
      </w:pPr>
      <w:r w:rsidRPr="00127D40">
        <w:rPr>
          <w:rFonts w:cs="Arial"/>
          <w:color w:val="auto"/>
        </w:rPr>
        <w:t>consider appropriate risk management strategies to include the matching of pension liabilities with suitable investments, possibly involv</w:t>
      </w:r>
      <w:r w:rsidRPr="00127D40">
        <w:rPr>
          <w:rFonts w:cs="Arial"/>
          <w:color w:val="auto"/>
        </w:rPr>
        <w:t>ing derivatives, and where necessary make recommendations to the Pension Fund Committee;</w:t>
      </w:r>
    </w:p>
    <w:p w:rsidR="0070445F" w:rsidRPr="00127D40" w:rsidRDefault="00B82A13" w:rsidP="00127D40">
      <w:pPr>
        <w:numPr>
          <w:ilvl w:val="0"/>
          <w:numId w:val="7"/>
        </w:numPr>
        <w:autoSpaceDE/>
        <w:autoSpaceDN/>
        <w:adjustRightInd/>
        <w:spacing w:after="0"/>
        <w:rPr>
          <w:rFonts w:cs="Arial"/>
          <w:color w:val="auto"/>
        </w:rPr>
      </w:pPr>
      <w:r w:rsidRPr="00127D40">
        <w:rPr>
          <w:rFonts w:cs="Arial"/>
          <w:color w:val="auto"/>
        </w:rPr>
        <w:t>consider foreign exchange hedging strategies relating to the equity and/or other asset allocations and where necessary make recommendations to the Pension Fund committ</w:t>
      </w:r>
      <w:r w:rsidRPr="00127D40">
        <w:rPr>
          <w:rFonts w:cs="Arial"/>
          <w:color w:val="auto"/>
        </w:rPr>
        <w:t>ee;</w:t>
      </w:r>
    </w:p>
    <w:p w:rsidR="0070445F" w:rsidRPr="00127D40" w:rsidRDefault="00B82A13" w:rsidP="00127D40">
      <w:pPr>
        <w:numPr>
          <w:ilvl w:val="0"/>
          <w:numId w:val="7"/>
        </w:numPr>
        <w:autoSpaceDE/>
        <w:autoSpaceDN/>
        <w:adjustRightInd/>
        <w:spacing w:after="0"/>
        <w:rPr>
          <w:rFonts w:cs="Arial"/>
          <w:color w:val="auto"/>
        </w:rPr>
      </w:pPr>
      <w:r w:rsidRPr="00127D40">
        <w:rPr>
          <w:rFonts w:cs="Arial"/>
          <w:color w:val="auto"/>
        </w:rPr>
        <w:t>monitor and review the investment activity; and</w:t>
      </w:r>
    </w:p>
    <w:p w:rsidR="0070445F" w:rsidRPr="00127D40" w:rsidRDefault="00B82A13" w:rsidP="00127D40">
      <w:pPr>
        <w:numPr>
          <w:ilvl w:val="0"/>
          <w:numId w:val="7"/>
        </w:numPr>
        <w:autoSpaceDE/>
        <w:autoSpaceDN/>
        <w:adjustRightInd/>
        <w:spacing w:after="0"/>
        <w:rPr>
          <w:rFonts w:cs="Arial"/>
          <w:color w:val="auto"/>
        </w:rPr>
      </w:pPr>
      <w:r w:rsidRPr="00127D40">
        <w:rPr>
          <w:rFonts w:cs="Arial"/>
          <w:color w:val="auto"/>
        </w:rPr>
        <w:t>Review and report on the performance of the Fund and where necessary make recommendations to the Pension Fund Committee.</w:t>
      </w:r>
    </w:p>
    <w:p w:rsidR="00334FD0" w:rsidRPr="00140B2F" w:rsidRDefault="00B82A13" w:rsidP="0042413E">
      <w:pPr>
        <w:numPr>
          <w:ilvl w:val="0"/>
          <w:numId w:val="7"/>
        </w:numPr>
        <w:autoSpaceDE/>
        <w:autoSpaceDN/>
        <w:adjustRightInd/>
        <w:spacing w:after="0"/>
        <w:rPr>
          <w:color w:val="auto"/>
        </w:rPr>
      </w:pPr>
      <w:r w:rsidRPr="00140B2F">
        <w:rPr>
          <w:rFonts w:cs="Arial"/>
          <w:color w:val="auto"/>
        </w:rPr>
        <w:t xml:space="preserve">The proposed procurement process, tender award criteria and evaluation methodology </w:t>
      </w:r>
      <w:r w:rsidRPr="00140B2F">
        <w:rPr>
          <w:rFonts w:cs="Arial"/>
          <w:color w:val="auto"/>
        </w:rPr>
        <w:t xml:space="preserve">for external advisers and other external assistance </w:t>
      </w:r>
      <w:r w:rsidRPr="00140B2F">
        <w:rPr>
          <w:rFonts w:cs="Arial"/>
          <w:color w:val="auto"/>
        </w:rPr>
        <w:t xml:space="preserve">including corporate </w:t>
      </w:r>
      <w:r w:rsidRPr="00140B2F">
        <w:rPr>
          <w:rFonts w:cs="Arial"/>
          <w:color w:val="auto"/>
        </w:rPr>
        <w:t xml:space="preserve">governance adviser, Fund Custodian, performance measurement advisers, the Fund Actuary and the Fund's AVC Provider ("external support") to enable the </w:t>
      </w:r>
      <w:r w:rsidRPr="00140B2F">
        <w:rPr>
          <w:rFonts w:cs="Arial"/>
          <w:color w:val="auto"/>
        </w:rPr>
        <w:t>Head of Fund to</w:t>
      </w:r>
      <w:r w:rsidRPr="00140B2F">
        <w:rPr>
          <w:rFonts w:cs="Arial"/>
          <w:color w:val="auto"/>
        </w:rPr>
        <w:t xml:space="preserve"> the Fund to seek the approval of the Pension Fund Committee to commence the procurement of any required external support.</w:t>
      </w:r>
    </w:p>
    <w:p w:rsidR="00334FD0" w:rsidRPr="000009FD" w:rsidRDefault="00B82A13" w:rsidP="0042413E">
      <w:pPr>
        <w:numPr>
          <w:ilvl w:val="0"/>
          <w:numId w:val="7"/>
        </w:numPr>
        <w:autoSpaceDE/>
        <w:autoSpaceDN/>
        <w:adjustRightInd/>
        <w:spacing w:after="0"/>
        <w:rPr>
          <w:color w:val="auto"/>
        </w:rPr>
      </w:pPr>
      <w:r w:rsidRPr="000009FD">
        <w:rPr>
          <w:rFonts w:cs="Arial"/>
          <w:color w:val="auto"/>
        </w:rPr>
        <w:t>The selection and appointment of any required external support (subject to the role of the Pension Fund Committee), their remit and t</w:t>
      </w:r>
      <w:r w:rsidRPr="000009FD">
        <w:rPr>
          <w:rFonts w:cs="Arial"/>
          <w:color w:val="auto"/>
        </w:rPr>
        <w:t>erms of office;</w:t>
      </w:r>
    </w:p>
    <w:p w:rsidR="00334FD0" w:rsidRPr="000009FD" w:rsidRDefault="00B82A13" w:rsidP="0042413E">
      <w:pPr>
        <w:numPr>
          <w:ilvl w:val="0"/>
          <w:numId w:val="7"/>
        </w:numPr>
        <w:autoSpaceDE/>
        <w:autoSpaceDN/>
        <w:adjustRightInd/>
        <w:spacing w:after="0"/>
        <w:rPr>
          <w:color w:val="auto"/>
        </w:rPr>
      </w:pPr>
      <w:r w:rsidRPr="000009FD">
        <w:rPr>
          <w:rFonts w:cs="Arial"/>
          <w:color w:val="auto"/>
        </w:rPr>
        <w:t>Review of the Statement of Investment Principles and compliance with investment arrangements;</w:t>
      </w:r>
    </w:p>
    <w:p w:rsidR="00334FD0" w:rsidRDefault="00B82A13" w:rsidP="0042413E">
      <w:pPr>
        <w:ind w:left="360"/>
        <w:rPr>
          <w:color w:val="auto"/>
        </w:rPr>
      </w:pPr>
    </w:p>
    <w:p w:rsidR="00334FD0" w:rsidRPr="00997F85" w:rsidRDefault="00B82A13" w:rsidP="0042413E">
      <w:pPr>
        <w:pStyle w:val="Heading4"/>
        <w:jc w:val="both"/>
        <w:rPr>
          <w:sz w:val="24"/>
          <w:szCs w:val="24"/>
        </w:rPr>
      </w:pPr>
      <w:r w:rsidRPr="00997F85">
        <w:rPr>
          <w:sz w:val="24"/>
          <w:szCs w:val="24"/>
        </w:rPr>
        <w:t>Investment Managers</w:t>
      </w:r>
    </w:p>
    <w:p w:rsidR="00334FD0" w:rsidRPr="008C7F7C" w:rsidRDefault="00B82A13" w:rsidP="0042413E">
      <w:pPr>
        <w:rPr>
          <w:rFonts w:cs="Arial"/>
          <w:sz w:val="20"/>
        </w:rPr>
      </w:pPr>
    </w:p>
    <w:p w:rsidR="00334FD0" w:rsidRPr="00140B2F" w:rsidRDefault="00B82A13" w:rsidP="00780799">
      <w:pPr>
        <w:spacing w:after="240"/>
      </w:pPr>
      <w:r w:rsidRPr="00140B2F">
        <w:rPr>
          <w:rFonts w:cs="Arial"/>
        </w:rPr>
        <w:t>The management of the Fund’s investments is structured so as to provide diversification of management style and produce an a</w:t>
      </w:r>
      <w:r w:rsidRPr="00140B2F">
        <w:rPr>
          <w:rFonts w:cs="Arial"/>
        </w:rPr>
        <w:t xml:space="preserve">cceptable spread of risk across the portfolio whilst maximising returns.  </w:t>
      </w:r>
    </w:p>
    <w:p w:rsidR="00780799" w:rsidRDefault="00B82A13" w:rsidP="00127D40">
      <w:pPr>
        <w:spacing w:after="0"/>
      </w:pPr>
      <w:r w:rsidRPr="00140B2F">
        <w:t>The implementation of all investments and selection of all investment managers is delegated to Local Pensions Partnership Investment</w:t>
      </w:r>
      <w:r w:rsidRPr="00140B2F">
        <w:t>s Limited (“LPP I”)</w:t>
      </w:r>
      <w:r w:rsidRPr="00140B2F">
        <w:t>, an FCA authorised company. T</w:t>
      </w:r>
      <w:r w:rsidRPr="00140B2F">
        <w:t>he partnership was set up by the Lancashire County Pension Fund and the London Pension Fund Authority. The partnership brings the benefit of scale, improved resources, lower costs and a broader opportunity set.</w:t>
      </w:r>
    </w:p>
    <w:p w:rsidR="00C41419" w:rsidRDefault="00B82A13" w:rsidP="0042413E">
      <w:pPr>
        <w:rPr>
          <w:rFonts w:cs="Arial"/>
          <w:b/>
          <w:snapToGrid w:val="0"/>
        </w:rPr>
      </w:pPr>
    </w:p>
    <w:p w:rsidR="00334FD0" w:rsidRPr="00FF5267" w:rsidRDefault="00B82A13" w:rsidP="0042413E">
      <w:pPr>
        <w:rPr>
          <w:rFonts w:cs="Arial"/>
          <w:b/>
          <w:snapToGrid w:val="0"/>
        </w:rPr>
      </w:pPr>
      <w:r w:rsidRPr="00FF5267">
        <w:rPr>
          <w:rFonts w:cs="Arial"/>
          <w:b/>
          <w:snapToGrid w:val="0"/>
        </w:rPr>
        <w:t>Role of Lancashire County Council in-house s</w:t>
      </w:r>
      <w:r w:rsidRPr="00FF5267">
        <w:rPr>
          <w:rFonts w:cs="Arial"/>
          <w:b/>
          <w:snapToGrid w:val="0"/>
        </w:rPr>
        <w:t>taff in respect of the accounts and investments of the Pension Fund</w:t>
      </w:r>
    </w:p>
    <w:p w:rsidR="00334FD0" w:rsidRPr="00FF5267" w:rsidRDefault="00B82A13" w:rsidP="0042413E">
      <w:pPr>
        <w:rPr>
          <w:rFonts w:cs="Arial"/>
        </w:rPr>
      </w:pPr>
    </w:p>
    <w:p w:rsidR="00334FD0" w:rsidRPr="00127D40" w:rsidRDefault="00B82A13" w:rsidP="0042413E">
      <w:pPr>
        <w:spacing w:after="240"/>
      </w:pPr>
      <w:r w:rsidRPr="00140B2F">
        <w:rPr>
          <w:rFonts w:cs="Arial"/>
        </w:rPr>
        <w:t xml:space="preserve">Under the Lancashire County Council Scheme of delegation to Chief Officers, </w:t>
      </w:r>
      <w:r w:rsidRPr="00140B2F">
        <w:rPr>
          <w:rFonts w:cs="Arial"/>
        </w:rPr>
        <w:t xml:space="preserve">the </w:t>
      </w:r>
      <w:r w:rsidRPr="00140B2F">
        <w:rPr>
          <w:rFonts w:cs="Arial"/>
        </w:rPr>
        <w:t xml:space="preserve">Head of </w:t>
      </w:r>
      <w:r w:rsidRPr="00140B2F">
        <w:rPr>
          <w:rFonts w:cs="Arial"/>
        </w:rPr>
        <w:t xml:space="preserve">the </w:t>
      </w:r>
      <w:r w:rsidRPr="00140B2F">
        <w:rPr>
          <w:rFonts w:cs="Arial"/>
        </w:rPr>
        <w:t>Fund</w:t>
      </w:r>
      <w:r w:rsidRPr="00140B2F">
        <w:rPr>
          <w:rFonts w:cs="Arial"/>
        </w:rPr>
        <w:t xml:space="preserve"> is responsible for carrying out, in consultation with the Investment Panel, the County Cou</w:t>
      </w:r>
      <w:r w:rsidRPr="00140B2F">
        <w:rPr>
          <w:rFonts w:cs="Arial"/>
        </w:rPr>
        <w:t xml:space="preserve">ncil’s duties under the Local Government Pension Scheme (Management and Investment of Funds) Regulations </w:t>
      </w:r>
      <w:r w:rsidRPr="00140B2F">
        <w:rPr>
          <w:rFonts w:cs="Arial"/>
        </w:rPr>
        <w:t>2009,</w:t>
      </w:r>
      <w:r w:rsidRPr="00140B2F">
        <w:rPr>
          <w:rFonts w:cs="Arial"/>
        </w:rPr>
        <w:t xml:space="preserve"> with regard to the requirement to review the investments made by the Fund Managers.  </w:t>
      </w:r>
      <w:r w:rsidRPr="00140B2F">
        <w:rPr>
          <w:rFonts w:cs="Arial"/>
        </w:rPr>
        <w:t xml:space="preserve">The </w:t>
      </w:r>
      <w:r w:rsidRPr="00140B2F">
        <w:rPr>
          <w:rFonts w:cs="Arial"/>
        </w:rPr>
        <w:t xml:space="preserve">Head of the Fund </w:t>
      </w:r>
      <w:r w:rsidRPr="00140B2F">
        <w:rPr>
          <w:rFonts w:cs="Arial"/>
        </w:rPr>
        <w:t xml:space="preserve">reports </w:t>
      </w:r>
      <w:r w:rsidRPr="00140B2F">
        <w:rPr>
          <w:rFonts w:cs="Arial"/>
        </w:rPr>
        <w:t xml:space="preserve">to </w:t>
      </w:r>
      <w:r w:rsidRPr="00140B2F">
        <w:rPr>
          <w:rFonts w:cs="Arial"/>
        </w:rPr>
        <w:t xml:space="preserve">each meeting of the Pension </w:t>
      </w:r>
      <w:r w:rsidRPr="00140B2F">
        <w:rPr>
          <w:rFonts w:cs="Arial"/>
        </w:rPr>
        <w:t>Fund Committee.</w:t>
      </w:r>
    </w:p>
    <w:p w:rsidR="00334FD0" w:rsidRDefault="00B82A13" w:rsidP="0042413E">
      <w:pPr>
        <w:rPr>
          <w:rFonts w:cs="Arial"/>
        </w:rPr>
      </w:pPr>
      <w:r w:rsidRPr="00140B2F">
        <w:rPr>
          <w:rFonts w:cs="Arial"/>
        </w:rPr>
        <w:t xml:space="preserve">Staff within financial resources also support </w:t>
      </w:r>
      <w:r w:rsidRPr="00140B2F">
        <w:rPr>
          <w:rFonts w:cs="Arial"/>
        </w:rPr>
        <w:t>Head of the Fund</w:t>
      </w:r>
      <w:r w:rsidRPr="00140B2F">
        <w:rPr>
          <w:rFonts w:cs="Arial"/>
        </w:rPr>
        <w:t xml:space="preserve"> in respect of </w:t>
      </w:r>
      <w:r w:rsidRPr="00140B2F">
        <w:rPr>
          <w:rFonts w:cs="Arial"/>
        </w:rPr>
        <w:t xml:space="preserve">their </w:t>
      </w:r>
      <w:r w:rsidRPr="00140B2F">
        <w:rPr>
          <w:rFonts w:cs="Arial"/>
        </w:rPr>
        <w:t>Pension Fund investment and accounting responsibilities and provide the following services:</w:t>
      </w:r>
    </w:p>
    <w:p w:rsidR="00334FD0" w:rsidRDefault="00B82A13" w:rsidP="0042413E">
      <w:pPr>
        <w:rPr>
          <w:rFonts w:cs="Arial"/>
        </w:rPr>
      </w:pPr>
    </w:p>
    <w:p w:rsidR="00334FD0" w:rsidRPr="00A86B4C" w:rsidRDefault="00B82A13" w:rsidP="0042413E">
      <w:pPr>
        <w:numPr>
          <w:ilvl w:val="0"/>
          <w:numId w:val="11"/>
        </w:numPr>
        <w:autoSpaceDE/>
        <w:autoSpaceDN/>
        <w:adjustRightInd/>
        <w:spacing w:after="0"/>
        <w:rPr>
          <w:rFonts w:cs="Arial"/>
        </w:rPr>
      </w:pPr>
      <w:r w:rsidRPr="00A86B4C">
        <w:rPr>
          <w:rFonts w:cs="Arial"/>
        </w:rPr>
        <w:t>Production of the Pension Fund Annual Report;</w:t>
      </w:r>
    </w:p>
    <w:p w:rsidR="00334FD0" w:rsidRPr="00A86B4C" w:rsidRDefault="00B82A13" w:rsidP="0042413E">
      <w:pPr>
        <w:numPr>
          <w:ilvl w:val="0"/>
          <w:numId w:val="11"/>
        </w:numPr>
        <w:autoSpaceDE/>
        <w:autoSpaceDN/>
        <w:adjustRightInd/>
        <w:spacing w:after="0"/>
        <w:rPr>
          <w:rFonts w:cs="Arial"/>
        </w:rPr>
      </w:pPr>
      <w:r w:rsidRPr="00A86B4C">
        <w:rPr>
          <w:rFonts w:cs="Arial"/>
        </w:rPr>
        <w:t xml:space="preserve">Preparation and </w:t>
      </w:r>
      <w:r w:rsidRPr="00A86B4C">
        <w:rPr>
          <w:rFonts w:cs="Arial"/>
        </w:rPr>
        <w:t>maintenance of the accounts and balance sheet of the Pension Fund;</w:t>
      </w:r>
    </w:p>
    <w:p w:rsidR="00334FD0" w:rsidRPr="00A86B4C" w:rsidRDefault="00B82A13" w:rsidP="0042413E">
      <w:pPr>
        <w:numPr>
          <w:ilvl w:val="0"/>
          <w:numId w:val="11"/>
        </w:numPr>
        <w:autoSpaceDE/>
        <w:autoSpaceDN/>
        <w:adjustRightInd/>
        <w:spacing w:after="0"/>
        <w:rPr>
          <w:rFonts w:cs="Arial"/>
        </w:rPr>
      </w:pPr>
      <w:r w:rsidRPr="00A86B4C">
        <w:rPr>
          <w:rFonts w:cs="Arial"/>
        </w:rPr>
        <w:t>Verification and monitoring of the investment data produced by the Fund managers to independent custodian records;</w:t>
      </w:r>
    </w:p>
    <w:p w:rsidR="00334FD0" w:rsidRPr="00A86B4C" w:rsidRDefault="00B82A13" w:rsidP="0042413E">
      <w:pPr>
        <w:numPr>
          <w:ilvl w:val="0"/>
          <w:numId w:val="11"/>
        </w:numPr>
        <w:autoSpaceDE/>
        <w:autoSpaceDN/>
        <w:adjustRightInd/>
        <w:spacing w:after="0"/>
        <w:rPr>
          <w:rFonts w:cs="Arial"/>
        </w:rPr>
      </w:pPr>
      <w:r w:rsidRPr="00A86B4C">
        <w:rPr>
          <w:rFonts w:cs="Arial"/>
        </w:rPr>
        <w:t>Completion of various statistical questionnaires;</w:t>
      </w:r>
    </w:p>
    <w:p w:rsidR="00334FD0" w:rsidRPr="00A86B4C" w:rsidRDefault="00B82A13" w:rsidP="0042413E">
      <w:pPr>
        <w:numPr>
          <w:ilvl w:val="0"/>
          <w:numId w:val="11"/>
        </w:numPr>
        <w:autoSpaceDE/>
        <w:autoSpaceDN/>
        <w:adjustRightInd/>
        <w:spacing w:after="0"/>
        <w:rPr>
          <w:rFonts w:cs="Arial"/>
        </w:rPr>
      </w:pPr>
      <w:r w:rsidRPr="00A86B4C">
        <w:rPr>
          <w:rFonts w:cs="Arial"/>
        </w:rPr>
        <w:t>Preparation of agenda, w</w:t>
      </w:r>
      <w:r w:rsidRPr="00A86B4C">
        <w:rPr>
          <w:rFonts w:cs="Arial"/>
        </w:rPr>
        <w:t>orking papers and reports for the Investment Panel meetings, Pension Fund Committee meetings and other miscellaneous investment meetings;</w:t>
      </w:r>
    </w:p>
    <w:p w:rsidR="00334FD0" w:rsidRPr="00A86B4C" w:rsidRDefault="00B82A13" w:rsidP="0042413E">
      <w:pPr>
        <w:numPr>
          <w:ilvl w:val="0"/>
          <w:numId w:val="11"/>
        </w:numPr>
        <w:autoSpaceDE/>
        <w:autoSpaceDN/>
        <w:adjustRightInd/>
        <w:spacing w:after="0"/>
        <w:rPr>
          <w:rFonts w:cs="Arial"/>
        </w:rPr>
      </w:pPr>
      <w:r w:rsidRPr="00A86B4C">
        <w:rPr>
          <w:rFonts w:cs="Arial"/>
        </w:rPr>
        <w:t>Maintenance of Pension Fund internal cash account and investment of Pension Fund Cash not held by the investment manag</w:t>
      </w:r>
      <w:r w:rsidRPr="00A86B4C">
        <w:rPr>
          <w:rFonts w:cs="Arial"/>
        </w:rPr>
        <w:t>ers;</w:t>
      </w:r>
    </w:p>
    <w:p w:rsidR="00334FD0" w:rsidRPr="00A86B4C" w:rsidRDefault="00B82A13" w:rsidP="0042413E">
      <w:pPr>
        <w:numPr>
          <w:ilvl w:val="0"/>
          <w:numId w:val="11"/>
        </w:numPr>
        <w:autoSpaceDE/>
        <w:autoSpaceDN/>
        <w:adjustRightInd/>
        <w:spacing w:after="0"/>
        <w:rPr>
          <w:rFonts w:cs="Arial"/>
        </w:rPr>
      </w:pPr>
      <w:r w:rsidRPr="00A86B4C">
        <w:rPr>
          <w:rFonts w:cs="Arial"/>
        </w:rPr>
        <w:t>Provision of accounting data for IAS19 calculations;</w:t>
      </w:r>
    </w:p>
    <w:p w:rsidR="00334FD0" w:rsidRPr="00A86B4C" w:rsidRDefault="00B82A13" w:rsidP="0042413E">
      <w:pPr>
        <w:numPr>
          <w:ilvl w:val="0"/>
          <w:numId w:val="11"/>
        </w:numPr>
        <w:autoSpaceDE/>
        <w:autoSpaceDN/>
        <w:adjustRightInd/>
        <w:spacing w:after="0"/>
        <w:rPr>
          <w:rFonts w:cs="Arial"/>
        </w:rPr>
      </w:pPr>
      <w:r w:rsidRPr="00A86B4C">
        <w:rPr>
          <w:rFonts w:cs="Arial"/>
        </w:rPr>
        <w:t>Monitoring compliance with policy laid down by the Investment Panel and Pension Fund Committee;</w:t>
      </w:r>
    </w:p>
    <w:p w:rsidR="00334FD0" w:rsidRPr="00A86B4C" w:rsidRDefault="00B82A13" w:rsidP="0042413E">
      <w:pPr>
        <w:numPr>
          <w:ilvl w:val="0"/>
          <w:numId w:val="11"/>
        </w:numPr>
        <w:autoSpaceDE/>
        <w:autoSpaceDN/>
        <w:adjustRightInd/>
        <w:spacing w:after="0"/>
        <w:rPr>
          <w:rFonts w:cs="Arial"/>
        </w:rPr>
      </w:pPr>
      <w:r w:rsidRPr="00A86B4C">
        <w:rPr>
          <w:rFonts w:cs="Arial"/>
        </w:rPr>
        <w:t xml:space="preserve">Maintenance of regular dialogue with </w:t>
      </w:r>
      <w:r>
        <w:rPr>
          <w:rFonts w:cs="Arial"/>
        </w:rPr>
        <w:t>LPP I</w:t>
      </w:r>
      <w:r w:rsidRPr="00A86B4C">
        <w:rPr>
          <w:rFonts w:cs="Arial"/>
        </w:rPr>
        <w:t xml:space="preserve"> and custodians;</w:t>
      </w:r>
    </w:p>
    <w:p w:rsidR="00334FD0" w:rsidRPr="00A86B4C" w:rsidRDefault="00B82A13" w:rsidP="0042413E">
      <w:pPr>
        <w:numPr>
          <w:ilvl w:val="0"/>
          <w:numId w:val="11"/>
        </w:numPr>
        <w:autoSpaceDE/>
        <w:autoSpaceDN/>
        <w:adjustRightInd/>
        <w:spacing w:after="0"/>
        <w:rPr>
          <w:rFonts w:cs="Arial"/>
        </w:rPr>
      </w:pPr>
      <w:r w:rsidRPr="00A86B4C">
        <w:rPr>
          <w:rFonts w:cs="Arial"/>
        </w:rPr>
        <w:t>The provision of data for performance monit</w:t>
      </w:r>
      <w:r w:rsidRPr="00A86B4C">
        <w:rPr>
          <w:rFonts w:cs="Arial"/>
        </w:rPr>
        <w:t>oring and interpretation of performance results;</w:t>
      </w:r>
    </w:p>
    <w:p w:rsidR="00334FD0" w:rsidRPr="00A86B4C" w:rsidRDefault="00B82A13" w:rsidP="0042413E">
      <w:pPr>
        <w:numPr>
          <w:ilvl w:val="0"/>
          <w:numId w:val="11"/>
        </w:numPr>
        <w:autoSpaceDE/>
        <w:autoSpaceDN/>
        <w:adjustRightInd/>
        <w:spacing w:after="0"/>
        <w:rPr>
          <w:rFonts w:cs="Arial"/>
        </w:rPr>
      </w:pPr>
      <w:r w:rsidRPr="00A86B4C">
        <w:rPr>
          <w:rFonts w:cs="Arial"/>
        </w:rPr>
        <w:t>The conducting of procurement exercises to secure the services of service providers on behalf of the Fund.</w:t>
      </w:r>
    </w:p>
    <w:p w:rsidR="00334FD0" w:rsidRPr="00A86B4C" w:rsidRDefault="00B82A13" w:rsidP="0042413E">
      <w:pPr>
        <w:numPr>
          <w:ilvl w:val="0"/>
          <w:numId w:val="11"/>
        </w:numPr>
        <w:autoSpaceDE/>
        <w:autoSpaceDN/>
        <w:adjustRightInd/>
        <w:spacing w:after="0"/>
        <w:rPr>
          <w:rFonts w:cs="Arial"/>
        </w:rPr>
      </w:pPr>
      <w:r w:rsidRPr="00A86B4C">
        <w:rPr>
          <w:rFonts w:cs="Arial"/>
        </w:rPr>
        <w:t>Verification, monitoring and payment of Pension Fund fee invoices;</w:t>
      </w:r>
    </w:p>
    <w:p w:rsidR="00334FD0" w:rsidRPr="00A86B4C" w:rsidRDefault="00B82A13" w:rsidP="0042413E">
      <w:pPr>
        <w:numPr>
          <w:ilvl w:val="0"/>
          <w:numId w:val="11"/>
        </w:numPr>
        <w:autoSpaceDE/>
        <w:autoSpaceDN/>
        <w:adjustRightInd/>
        <w:spacing w:after="0"/>
        <w:rPr>
          <w:rFonts w:cs="Arial"/>
        </w:rPr>
      </w:pPr>
      <w:r w:rsidRPr="00A86B4C">
        <w:rPr>
          <w:rFonts w:cs="Arial"/>
        </w:rPr>
        <w:t xml:space="preserve">Monitoring the receipt of income </w:t>
      </w:r>
      <w:r w:rsidRPr="00A86B4C">
        <w:rPr>
          <w:rFonts w:cs="Arial"/>
        </w:rPr>
        <w:t>due to the Fund;</w:t>
      </w:r>
    </w:p>
    <w:p w:rsidR="00334FD0" w:rsidRPr="00A86B4C" w:rsidRDefault="00B82A13" w:rsidP="0042413E">
      <w:pPr>
        <w:numPr>
          <w:ilvl w:val="0"/>
          <w:numId w:val="11"/>
        </w:numPr>
        <w:autoSpaceDE/>
        <w:autoSpaceDN/>
        <w:adjustRightInd/>
        <w:spacing w:after="0"/>
        <w:rPr>
          <w:rFonts w:cs="Arial"/>
        </w:rPr>
      </w:pPr>
      <w:r w:rsidRPr="00A86B4C">
        <w:rPr>
          <w:rFonts w:cs="Arial"/>
        </w:rPr>
        <w:t xml:space="preserve">Representing the </w:t>
      </w:r>
      <w:r>
        <w:rPr>
          <w:rFonts w:cs="Arial"/>
        </w:rPr>
        <w:t>Head of fund</w:t>
      </w:r>
      <w:r w:rsidRPr="00A86B4C">
        <w:rPr>
          <w:rFonts w:cs="Arial"/>
        </w:rPr>
        <w:t xml:space="preserve"> at the Local Authority Pension Fund Forum meetings and other relevant Pension Fund Investment meetings;</w:t>
      </w:r>
    </w:p>
    <w:p w:rsidR="00334FD0" w:rsidRPr="00A86B4C" w:rsidRDefault="00B82A13" w:rsidP="0042413E">
      <w:pPr>
        <w:numPr>
          <w:ilvl w:val="0"/>
          <w:numId w:val="11"/>
        </w:numPr>
        <w:autoSpaceDE/>
        <w:autoSpaceDN/>
        <w:adjustRightInd/>
        <w:spacing w:after="0"/>
        <w:rPr>
          <w:rFonts w:cs="Arial"/>
        </w:rPr>
      </w:pPr>
      <w:r w:rsidRPr="00A86B4C">
        <w:rPr>
          <w:rFonts w:cs="Arial"/>
        </w:rPr>
        <w:t>Interpretation and implementation of the requirements of new legislation relating to Pension Fund account</w:t>
      </w:r>
      <w:r w:rsidRPr="00A86B4C">
        <w:rPr>
          <w:rFonts w:cs="Arial"/>
        </w:rPr>
        <w:t>ing and investments;</w:t>
      </w:r>
    </w:p>
    <w:p w:rsidR="00334FD0" w:rsidRPr="00A86B4C" w:rsidRDefault="00B82A13" w:rsidP="0042413E">
      <w:pPr>
        <w:numPr>
          <w:ilvl w:val="0"/>
          <w:numId w:val="11"/>
        </w:numPr>
        <w:autoSpaceDE/>
        <w:autoSpaceDN/>
        <w:adjustRightInd/>
        <w:spacing w:after="0"/>
        <w:rPr>
          <w:rFonts w:cs="Arial"/>
        </w:rPr>
      </w:pPr>
      <w:r w:rsidRPr="00A86B4C">
        <w:rPr>
          <w:rFonts w:cs="Arial"/>
        </w:rPr>
        <w:t>Attendance at various seminars covering new developments in respect of Pension Fund Inv</w:t>
      </w:r>
      <w:r>
        <w:rPr>
          <w:rFonts w:cs="Arial"/>
        </w:rPr>
        <w:t>estment issues; and</w:t>
      </w:r>
    </w:p>
    <w:p w:rsidR="00DA549B" w:rsidRPr="00A86B4C" w:rsidRDefault="00B82A13" w:rsidP="00127D40">
      <w:pPr>
        <w:autoSpaceDE/>
        <w:autoSpaceDN/>
        <w:adjustRightInd/>
        <w:spacing w:after="0"/>
        <w:rPr>
          <w:rFonts w:cs="Arial"/>
        </w:rPr>
      </w:pPr>
    </w:p>
    <w:p w:rsidR="00334FD0" w:rsidRPr="00997F85" w:rsidRDefault="00B82A13" w:rsidP="0042413E">
      <w:pPr>
        <w:pStyle w:val="Heading4"/>
        <w:spacing w:after="240"/>
        <w:ind w:left="357" w:hanging="357"/>
        <w:jc w:val="both"/>
        <w:rPr>
          <w:sz w:val="24"/>
          <w:szCs w:val="24"/>
        </w:rPr>
      </w:pPr>
      <w:r w:rsidRPr="00997F85">
        <w:rPr>
          <w:sz w:val="24"/>
          <w:szCs w:val="24"/>
        </w:rPr>
        <w:t>Investment Objective</w:t>
      </w:r>
      <w:r>
        <w:rPr>
          <w:sz w:val="24"/>
          <w:szCs w:val="24"/>
        </w:rPr>
        <w:t>s</w:t>
      </w:r>
    </w:p>
    <w:p w:rsidR="00334FD0" w:rsidRPr="008C7F7C" w:rsidRDefault="00B82A13" w:rsidP="0042413E">
      <w:pPr>
        <w:spacing w:after="240"/>
      </w:pPr>
      <w:r w:rsidRPr="008C7F7C">
        <w:rPr>
          <w:rFonts w:cs="Arial"/>
        </w:rPr>
        <w:t>The Fund has two objectives in terms of its investment activities:</w:t>
      </w:r>
    </w:p>
    <w:p w:rsidR="00334FD0" w:rsidRPr="008C7F7C" w:rsidRDefault="00B82A13" w:rsidP="0042413E">
      <w:pPr>
        <w:numPr>
          <w:ilvl w:val="0"/>
          <w:numId w:val="8"/>
        </w:numPr>
        <w:autoSpaceDE/>
        <w:autoSpaceDN/>
        <w:adjustRightInd/>
        <w:spacing w:after="0"/>
      </w:pPr>
      <w:r w:rsidRPr="008C7F7C">
        <w:rPr>
          <w:rFonts w:cs="Arial"/>
        </w:rPr>
        <w:t>To ensure that resources are available</w:t>
      </w:r>
      <w:r w:rsidRPr="008C7F7C">
        <w:rPr>
          <w:rFonts w:cs="Arial"/>
        </w:rPr>
        <w:t xml:space="preserve"> to meet the Fund's liabilities through achieving investment performance at least in line with actuarial assumption</w:t>
      </w:r>
      <w:r>
        <w:rPr>
          <w:rFonts w:cs="Arial"/>
        </w:rPr>
        <w:t>s</w:t>
      </w:r>
      <w:r w:rsidRPr="008C7F7C">
        <w:rPr>
          <w:rFonts w:cs="Arial"/>
        </w:rPr>
        <w:t>.</w:t>
      </w:r>
    </w:p>
    <w:p w:rsidR="00334FD0" w:rsidRPr="008C7F7C" w:rsidRDefault="00B82A13" w:rsidP="0042413E">
      <w:pPr>
        <w:numPr>
          <w:ilvl w:val="0"/>
          <w:numId w:val="8"/>
        </w:numPr>
        <w:autoSpaceDE/>
        <w:autoSpaceDN/>
        <w:adjustRightInd/>
        <w:spacing w:after="240"/>
        <w:ind w:left="714" w:hanging="357"/>
      </w:pPr>
      <w:r w:rsidRPr="008C7F7C">
        <w:rPr>
          <w:rFonts w:cs="Arial"/>
        </w:rPr>
        <w:t>To achieve full funding (i.e. no funding deficit) over a period no longer than the current recovery period.</w:t>
      </w:r>
    </w:p>
    <w:p w:rsidR="00820E05" w:rsidRPr="00140B2F" w:rsidRDefault="00B82A13" w:rsidP="00820E05">
      <w:pPr>
        <w:rPr>
          <w:rFonts w:eastAsia="Cambria" w:cs="Arial"/>
          <w:color w:val="000000" w:themeColor="text1"/>
          <w:lang w:eastAsia="en-GB"/>
        </w:rPr>
      </w:pPr>
      <w:r w:rsidRPr="00820E05">
        <w:rPr>
          <w:rFonts w:cs="Arial"/>
        </w:rPr>
        <w:t xml:space="preserve">The current funding target </w:t>
      </w:r>
      <w:r w:rsidRPr="00820E05">
        <w:rPr>
          <w:rFonts w:cs="Arial"/>
        </w:rPr>
        <w:t>assumptions include an assumed investment return (disc</w:t>
      </w:r>
      <w:r w:rsidRPr="00140B2F">
        <w:rPr>
          <w:rFonts w:cs="Arial"/>
        </w:rPr>
        <w:t>ount rate) of a yield based on market returns on UK Government gilt stocks and other instruments which reflects</w:t>
      </w:r>
      <w:r w:rsidRPr="00140B2F">
        <w:rPr>
          <w:rFonts w:eastAsia="Cambria" w:cs="Arial"/>
          <w:color w:val="000000" w:themeColor="text1"/>
          <w:lang w:eastAsia="en-GB"/>
        </w:rPr>
        <w:t xml:space="preserve"> a market consistent discount rate for the profile and duration of the Scheme’s accrued lia</w:t>
      </w:r>
      <w:r w:rsidRPr="00140B2F">
        <w:rPr>
          <w:rFonts w:eastAsia="Cambria" w:cs="Arial"/>
          <w:color w:val="000000" w:themeColor="text1"/>
          <w:lang w:eastAsia="en-GB"/>
        </w:rPr>
        <w:t>bilities, plus an Asset Out-performance Assumption (“AOA”) of 1.6% p.a.</w:t>
      </w:r>
    </w:p>
    <w:p w:rsidR="00C41419" w:rsidRPr="00140B2F" w:rsidRDefault="00B82A13" w:rsidP="00820E05">
      <w:pPr>
        <w:spacing w:after="0"/>
        <w:jc w:val="left"/>
        <w:rPr>
          <w:rFonts w:eastAsia="Cambria" w:cs="Arial"/>
          <w:color w:val="000000" w:themeColor="text1"/>
          <w:lang w:eastAsia="en-GB"/>
        </w:rPr>
      </w:pPr>
      <w:r w:rsidRPr="00140B2F">
        <w:rPr>
          <w:rFonts w:eastAsia="Cambria" w:cs="Arial"/>
          <w:color w:val="000000" w:themeColor="text1"/>
          <w:lang w:eastAsia="en-GB"/>
        </w:rPr>
        <w:t>The asset out-performance assumptions represent the allowance made, in calculating the funding target, for the long term additional investment performance on the assets of the Fund rel</w:t>
      </w:r>
      <w:r w:rsidRPr="00140B2F">
        <w:rPr>
          <w:rFonts w:eastAsia="Cambria" w:cs="Arial"/>
          <w:color w:val="000000" w:themeColor="text1"/>
          <w:lang w:eastAsia="en-GB"/>
        </w:rPr>
        <w:t xml:space="preserve">ative to the yields available on long dated gilt stocks as at the valuation date. </w:t>
      </w:r>
    </w:p>
    <w:p w:rsidR="00C41419" w:rsidRPr="00140B2F" w:rsidRDefault="00B82A13" w:rsidP="00820E05">
      <w:pPr>
        <w:spacing w:after="0"/>
        <w:jc w:val="left"/>
        <w:rPr>
          <w:rFonts w:eastAsia="Cambria" w:cs="Arial"/>
          <w:color w:val="000000" w:themeColor="text1"/>
          <w:lang w:eastAsia="en-GB"/>
        </w:rPr>
      </w:pPr>
    </w:p>
    <w:p w:rsidR="00334FD0" w:rsidRPr="00140B2F" w:rsidRDefault="00B82A13" w:rsidP="00140B2F">
      <w:pPr>
        <w:pStyle w:val="Heading4"/>
        <w:rPr>
          <w:sz w:val="24"/>
          <w:szCs w:val="24"/>
        </w:rPr>
      </w:pPr>
      <w:r w:rsidRPr="00140B2F">
        <w:rPr>
          <w:sz w:val="24"/>
          <w:szCs w:val="24"/>
        </w:rPr>
        <w:t>Types of Investment</w:t>
      </w:r>
      <w:r w:rsidRPr="00140B2F">
        <w:rPr>
          <w:sz w:val="24"/>
          <w:szCs w:val="24"/>
        </w:rPr>
        <w:t xml:space="preserve"> </w:t>
      </w:r>
    </w:p>
    <w:p w:rsidR="00140B2F" w:rsidRPr="00140B2F" w:rsidRDefault="00B82A13" w:rsidP="00140B2F">
      <w:pPr>
        <w:rPr>
          <w:lang w:eastAsia="en-GB"/>
        </w:rPr>
      </w:pPr>
    </w:p>
    <w:p w:rsidR="008E6931" w:rsidRPr="00140B2F" w:rsidRDefault="00B82A13" w:rsidP="00214B4C">
      <w:pPr>
        <w:spacing w:after="240"/>
        <w:rPr>
          <w:rFonts w:cs="Arial"/>
        </w:rPr>
      </w:pPr>
      <w:r w:rsidRPr="00140B2F">
        <w:rPr>
          <w:rFonts w:cs="Arial"/>
        </w:rPr>
        <w:t xml:space="preserve">The </w:t>
      </w:r>
      <w:r w:rsidRPr="00140B2F">
        <w:rPr>
          <w:rFonts w:cs="Arial"/>
        </w:rPr>
        <w:t>Pension Fund Committee</w:t>
      </w:r>
      <w:r w:rsidRPr="00140B2F">
        <w:rPr>
          <w:rFonts w:cs="Arial"/>
        </w:rPr>
        <w:t xml:space="preserve"> </w:t>
      </w:r>
      <w:r w:rsidRPr="00140B2F">
        <w:rPr>
          <w:rFonts w:cs="Arial"/>
        </w:rPr>
        <w:t xml:space="preserve">(“the Committee”) </w:t>
      </w:r>
      <w:r w:rsidRPr="00140B2F">
        <w:rPr>
          <w:rFonts w:cs="Arial"/>
        </w:rPr>
        <w:t>has delegated all implementation activities to Local Pensions Partnership Investment</w:t>
      </w:r>
      <w:r w:rsidRPr="00140B2F">
        <w:rPr>
          <w:rFonts w:cs="Arial"/>
        </w:rPr>
        <w:t>s Limited</w:t>
      </w:r>
      <w:r w:rsidRPr="00140B2F">
        <w:rPr>
          <w:rFonts w:cs="Arial"/>
        </w:rPr>
        <w:t xml:space="preserve"> (“LPP I”). </w:t>
      </w:r>
      <w:r w:rsidRPr="00140B2F">
        <w:rPr>
          <w:rFonts w:cs="Arial"/>
        </w:rPr>
        <w:t xml:space="preserve">LPP I </w:t>
      </w:r>
      <w:r w:rsidRPr="00140B2F">
        <w:rPr>
          <w:rFonts w:cs="Arial"/>
        </w:rPr>
        <w:t>manages</w:t>
      </w:r>
      <w:r w:rsidRPr="00140B2F">
        <w:rPr>
          <w:rFonts w:cs="Arial"/>
        </w:rPr>
        <w:t xml:space="preserve"> eight different investment </w:t>
      </w:r>
      <w:r w:rsidRPr="00140B2F">
        <w:rPr>
          <w:rFonts w:cs="Arial"/>
        </w:rPr>
        <w:t>mandates</w:t>
      </w:r>
      <w:r w:rsidRPr="00140B2F">
        <w:rPr>
          <w:rFonts w:cs="Arial"/>
        </w:rPr>
        <w:t xml:space="preserve"> covering a wide range of asset classes:</w:t>
      </w:r>
    </w:p>
    <w:p w:rsidR="002827DF" w:rsidRPr="00140B2F" w:rsidRDefault="00B82A13" w:rsidP="00127D40">
      <w:pPr>
        <w:pStyle w:val="ListParagraph"/>
        <w:numPr>
          <w:ilvl w:val="0"/>
          <w:numId w:val="25"/>
        </w:numPr>
        <w:spacing w:after="240"/>
        <w:rPr>
          <w:rFonts w:cs="Arial"/>
        </w:rPr>
      </w:pPr>
      <w:r w:rsidRPr="00140B2F">
        <w:rPr>
          <w:rFonts w:cs="Arial"/>
        </w:rPr>
        <w:t>Public Equities</w:t>
      </w:r>
    </w:p>
    <w:p w:rsidR="008E6931" w:rsidRPr="00140B2F" w:rsidRDefault="00B82A13" w:rsidP="00127D40">
      <w:pPr>
        <w:pStyle w:val="ListParagraph"/>
        <w:numPr>
          <w:ilvl w:val="0"/>
          <w:numId w:val="25"/>
        </w:numPr>
        <w:spacing w:after="240"/>
        <w:rPr>
          <w:rFonts w:cs="Arial"/>
        </w:rPr>
      </w:pPr>
      <w:r w:rsidRPr="00140B2F">
        <w:rPr>
          <w:rFonts w:cs="Arial"/>
        </w:rPr>
        <w:t>Private Equities</w:t>
      </w:r>
    </w:p>
    <w:p w:rsidR="008E6931" w:rsidRPr="00140B2F" w:rsidRDefault="00B82A13" w:rsidP="00127D40">
      <w:pPr>
        <w:pStyle w:val="ListParagraph"/>
        <w:numPr>
          <w:ilvl w:val="0"/>
          <w:numId w:val="25"/>
        </w:numPr>
        <w:spacing w:after="240"/>
        <w:rPr>
          <w:rFonts w:cs="Arial"/>
        </w:rPr>
      </w:pPr>
      <w:r w:rsidRPr="00140B2F">
        <w:rPr>
          <w:rFonts w:cs="Arial"/>
        </w:rPr>
        <w:t>Fixed Income</w:t>
      </w:r>
    </w:p>
    <w:p w:rsidR="008E6931" w:rsidRPr="00140B2F" w:rsidRDefault="00B82A13" w:rsidP="00127D40">
      <w:pPr>
        <w:pStyle w:val="ListParagraph"/>
        <w:numPr>
          <w:ilvl w:val="0"/>
          <w:numId w:val="25"/>
        </w:numPr>
        <w:spacing w:after="240"/>
        <w:rPr>
          <w:rFonts w:cs="Arial"/>
        </w:rPr>
      </w:pPr>
      <w:r w:rsidRPr="00140B2F">
        <w:rPr>
          <w:rFonts w:cs="Arial"/>
        </w:rPr>
        <w:t>Alternative Credit</w:t>
      </w:r>
    </w:p>
    <w:p w:rsidR="008E6931" w:rsidRPr="00140B2F" w:rsidRDefault="00B82A13" w:rsidP="00127D40">
      <w:pPr>
        <w:pStyle w:val="ListParagraph"/>
        <w:numPr>
          <w:ilvl w:val="0"/>
          <w:numId w:val="25"/>
        </w:numPr>
        <w:spacing w:after="240"/>
        <w:rPr>
          <w:rFonts w:cs="Arial"/>
        </w:rPr>
      </w:pPr>
      <w:r w:rsidRPr="00140B2F">
        <w:rPr>
          <w:rFonts w:cs="Arial"/>
        </w:rPr>
        <w:t>Property</w:t>
      </w:r>
    </w:p>
    <w:p w:rsidR="008E6931" w:rsidRPr="00140B2F" w:rsidRDefault="00B82A13" w:rsidP="00127D40">
      <w:pPr>
        <w:pStyle w:val="ListParagraph"/>
        <w:numPr>
          <w:ilvl w:val="0"/>
          <w:numId w:val="25"/>
        </w:numPr>
        <w:spacing w:after="240"/>
        <w:rPr>
          <w:rFonts w:cs="Arial"/>
        </w:rPr>
      </w:pPr>
      <w:r w:rsidRPr="00140B2F">
        <w:rPr>
          <w:rFonts w:cs="Arial"/>
        </w:rPr>
        <w:t>Infrastructure</w:t>
      </w:r>
    </w:p>
    <w:p w:rsidR="008E6931" w:rsidRPr="00140B2F" w:rsidRDefault="00B82A13" w:rsidP="00127D40">
      <w:pPr>
        <w:pStyle w:val="ListParagraph"/>
        <w:numPr>
          <w:ilvl w:val="0"/>
          <w:numId w:val="25"/>
        </w:numPr>
        <w:spacing w:after="240"/>
        <w:rPr>
          <w:rFonts w:cs="Arial"/>
        </w:rPr>
      </w:pPr>
      <w:r w:rsidRPr="00140B2F">
        <w:rPr>
          <w:rFonts w:cs="Arial"/>
        </w:rPr>
        <w:t>Total Return</w:t>
      </w:r>
    </w:p>
    <w:p w:rsidR="008E6931" w:rsidRPr="00140B2F" w:rsidRDefault="00B82A13" w:rsidP="00127D40">
      <w:pPr>
        <w:pStyle w:val="ListParagraph"/>
        <w:numPr>
          <w:ilvl w:val="0"/>
          <w:numId w:val="25"/>
        </w:numPr>
        <w:spacing w:after="240"/>
        <w:rPr>
          <w:rFonts w:cs="Arial"/>
        </w:rPr>
      </w:pPr>
      <w:r w:rsidRPr="00140B2F">
        <w:rPr>
          <w:rFonts w:cs="Arial"/>
        </w:rPr>
        <w:t>Liquidity</w:t>
      </w:r>
    </w:p>
    <w:p w:rsidR="00334FD0" w:rsidRPr="00140B2F" w:rsidRDefault="00B82A13" w:rsidP="0042413E">
      <w:pPr>
        <w:spacing w:before="120" w:after="240"/>
        <w:rPr>
          <w:rFonts w:cs="Arial"/>
        </w:rPr>
      </w:pPr>
      <w:r w:rsidRPr="00140B2F">
        <w:rPr>
          <w:rFonts w:cs="Arial"/>
        </w:rPr>
        <w:t xml:space="preserve">LPP I will also provide advice to the </w:t>
      </w:r>
      <w:r w:rsidRPr="00140B2F">
        <w:rPr>
          <w:rFonts w:cs="Arial"/>
        </w:rPr>
        <w:t>Committee</w:t>
      </w:r>
      <w:r w:rsidRPr="00140B2F">
        <w:rPr>
          <w:rFonts w:cs="Arial"/>
        </w:rPr>
        <w:t xml:space="preserve"> and the Investment Panel</w:t>
      </w:r>
      <w:r w:rsidRPr="00140B2F">
        <w:rPr>
          <w:rFonts w:cs="Arial"/>
        </w:rPr>
        <w:t xml:space="preserve"> on management of foreign exchange risk and liability hedging</w:t>
      </w:r>
      <w:r w:rsidRPr="00140B2F">
        <w:rPr>
          <w:rFonts w:cs="Arial"/>
        </w:rPr>
        <w:t xml:space="preserve"> strategies</w:t>
      </w:r>
      <w:r w:rsidRPr="00140B2F">
        <w:rPr>
          <w:rFonts w:cs="Arial"/>
        </w:rPr>
        <w:t>.</w:t>
      </w:r>
      <w:r w:rsidRPr="00140B2F">
        <w:rPr>
          <w:rFonts w:cs="Arial"/>
        </w:rPr>
        <w:t xml:space="preserve"> </w:t>
      </w:r>
    </w:p>
    <w:p w:rsidR="00334FD0" w:rsidRPr="00127D40" w:rsidRDefault="00B82A13" w:rsidP="0042413E">
      <w:pPr>
        <w:spacing w:after="200" w:line="276" w:lineRule="auto"/>
        <w:rPr>
          <w:rFonts w:cs="Arial"/>
          <w:b/>
          <w:snapToGrid w:val="0"/>
          <w:highlight w:val="green"/>
        </w:rPr>
      </w:pPr>
      <w:r w:rsidRPr="00127D40">
        <w:rPr>
          <w:rFonts w:cs="Arial"/>
          <w:highlight w:val="green"/>
        </w:rPr>
        <w:br w:type="page"/>
      </w:r>
    </w:p>
    <w:p w:rsidR="00334FD0" w:rsidRPr="00140B2F" w:rsidRDefault="00B82A13" w:rsidP="0042413E">
      <w:pPr>
        <w:pStyle w:val="Heading4"/>
        <w:jc w:val="both"/>
        <w:rPr>
          <w:sz w:val="24"/>
          <w:szCs w:val="24"/>
        </w:rPr>
      </w:pPr>
      <w:r w:rsidRPr="00140B2F">
        <w:rPr>
          <w:sz w:val="24"/>
          <w:szCs w:val="24"/>
        </w:rPr>
        <w:t>Balance between Different Types of Investment</w:t>
      </w:r>
    </w:p>
    <w:p w:rsidR="00334FD0" w:rsidRPr="00127D40" w:rsidRDefault="00B82A13" w:rsidP="0042413E">
      <w:pPr>
        <w:spacing w:before="120"/>
        <w:rPr>
          <w:rStyle w:val="Strong"/>
          <w:rFonts w:cs="Arial"/>
          <w:b w:val="0"/>
        </w:rPr>
      </w:pPr>
      <w:r w:rsidRPr="00537409">
        <w:rPr>
          <w:rStyle w:val="Strong"/>
          <w:rFonts w:cs="Arial"/>
          <w:b w:val="0"/>
        </w:rPr>
        <w:t>The investment strategy sets out a balance between different asset classes as follows</w:t>
      </w:r>
      <w:r w:rsidRPr="00127D40">
        <w:rPr>
          <w:rStyle w:val="Strong"/>
          <w:rFonts w:cs="Arial"/>
          <w:b w:val="0"/>
        </w:rPr>
        <w:t xml:space="preserve">. The strategic asset allocation </w:t>
      </w:r>
      <w:r w:rsidRPr="00127D40">
        <w:rPr>
          <w:rStyle w:val="Strong"/>
          <w:rFonts w:cs="Arial"/>
          <w:b w:val="0"/>
        </w:rPr>
        <w:t xml:space="preserve">(SAA) </w:t>
      </w:r>
      <w:r w:rsidRPr="00127D40">
        <w:rPr>
          <w:rStyle w:val="Strong"/>
          <w:rFonts w:cs="Arial"/>
          <w:b w:val="0"/>
        </w:rPr>
        <w:t xml:space="preserve">was approved by the Investment </w:t>
      </w:r>
      <w:r w:rsidRPr="00140B2F">
        <w:rPr>
          <w:rStyle w:val="Strong"/>
          <w:rFonts w:cs="Arial"/>
          <w:b w:val="0"/>
        </w:rPr>
        <w:t>Panel</w:t>
      </w:r>
      <w:r w:rsidRPr="00140B2F">
        <w:rPr>
          <w:rStyle w:val="Strong"/>
          <w:rFonts w:cs="Arial"/>
          <w:b w:val="0"/>
        </w:rPr>
        <w:t>.</w:t>
      </w:r>
    </w:p>
    <w:p w:rsidR="008E6931" w:rsidRDefault="00B82A13" w:rsidP="008E6931">
      <w:pPr>
        <w:spacing w:after="0"/>
        <w:rPr>
          <w:b/>
          <w:u w:val="single"/>
        </w:rPr>
      </w:pPr>
    </w:p>
    <w:p w:rsidR="008E6931" w:rsidRPr="00127D40" w:rsidRDefault="00B82A13" w:rsidP="008E6931">
      <w:pPr>
        <w:spacing w:after="0"/>
        <w:jc w:val="center"/>
        <w:rPr>
          <w:highlight w:val="green"/>
        </w:rPr>
      </w:pPr>
      <w:r w:rsidRPr="0036739F">
        <w:rPr>
          <w:noProof/>
          <w:lang w:eastAsia="en-GB"/>
        </w:rPr>
        <w:drawing>
          <wp:inline distT="0" distB="0" distL="0" distR="0">
            <wp:extent cx="3067050" cy="2105025"/>
            <wp:effectExtent l="0" t="0" r="0" b="9525"/>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067050" cy="2105025"/>
                    </a:xfrm>
                    <a:prstGeom prst="rect">
                      <a:avLst/>
                    </a:prstGeom>
                    <a:noFill/>
                    <a:ln>
                      <a:noFill/>
                    </a:ln>
                  </pic:spPr>
                </pic:pic>
              </a:graphicData>
            </a:graphic>
          </wp:inline>
        </w:drawing>
      </w:r>
    </w:p>
    <w:p w:rsidR="008E6931" w:rsidRPr="00127D40" w:rsidRDefault="00B82A13" w:rsidP="008E6931">
      <w:pPr>
        <w:spacing w:after="0"/>
        <w:rPr>
          <w:highlight w:val="green"/>
        </w:rPr>
      </w:pPr>
    </w:p>
    <w:p w:rsidR="008E6931" w:rsidRPr="00770110" w:rsidRDefault="00B82A13" w:rsidP="008E6931">
      <w:pPr>
        <w:spacing w:after="0"/>
        <w:rPr>
          <w:b/>
          <w:u w:val="single"/>
        </w:rPr>
      </w:pPr>
      <w:r w:rsidRPr="00770110">
        <w:rPr>
          <w:b/>
          <w:u w:val="single"/>
        </w:rPr>
        <w:t>Global Equities</w:t>
      </w:r>
    </w:p>
    <w:p w:rsidR="008E6931" w:rsidRPr="00770110" w:rsidRDefault="00B82A13" w:rsidP="008E6931">
      <w:pPr>
        <w:spacing w:after="0"/>
      </w:pPr>
      <w:r w:rsidRPr="00770110">
        <w:rPr>
          <w:rFonts w:cs="Arial"/>
        </w:rPr>
        <w:t xml:space="preserve">The objective is </w:t>
      </w:r>
      <w:r w:rsidRPr="00770110">
        <w:t>to outperform the MSCI All Country World, net dividends reinvested, in GBP Index over the full market cycle which is considered to be at least</w:t>
      </w:r>
      <w:r w:rsidRPr="00770110">
        <w:t xml:space="preserve"> seven years (the “Benchmark”). All equity investments are made via LPP I by investing in underlying funds which may be managed by LPP I (“Internal Mandates”), or by external third parties (“External Mandates”).</w:t>
      </w:r>
    </w:p>
    <w:p w:rsidR="008E6931" w:rsidRPr="00770110" w:rsidRDefault="00B82A13" w:rsidP="008E6931">
      <w:pPr>
        <w:pStyle w:val="Style1"/>
      </w:pPr>
    </w:p>
    <w:p w:rsidR="00A60FFC" w:rsidRPr="00127D40" w:rsidRDefault="00B82A13" w:rsidP="00A60FFC">
      <w:pPr>
        <w:spacing w:after="0"/>
        <w:rPr>
          <w:b/>
          <w:u w:val="single"/>
        </w:rPr>
      </w:pPr>
      <w:r w:rsidRPr="00127D40">
        <w:rPr>
          <w:b/>
          <w:u w:val="single"/>
        </w:rPr>
        <w:t>Fixed Income</w:t>
      </w:r>
    </w:p>
    <w:p w:rsidR="00A60FFC" w:rsidRPr="00127D40" w:rsidRDefault="00B82A13" w:rsidP="00A60FFC">
      <w:pPr>
        <w:spacing w:after="0"/>
        <w:rPr>
          <w:rFonts w:cs="Arial"/>
        </w:rPr>
      </w:pPr>
      <w:r w:rsidRPr="00127D40">
        <w:rPr>
          <w:rFonts w:cs="Arial"/>
        </w:rPr>
        <w:t>LCPF will seek to outperform t</w:t>
      </w:r>
      <w:r w:rsidRPr="00127D40">
        <w:rPr>
          <w:rFonts w:cs="Arial"/>
        </w:rPr>
        <w:t>he Barclays Global Aggregate Bond Index GBP Hedged. The LPP I Pool will pursue this aim by investing in underlying funds which may be managed by LPP I (“Internal Mandates”), or by external third parties (“External Mandates”) which are consistent with the F</w:t>
      </w:r>
      <w:r w:rsidRPr="00127D40">
        <w:rPr>
          <w:rFonts w:cs="Arial"/>
        </w:rPr>
        <w:t>I Pool’s investment objectives and restrictions.</w:t>
      </w:r>
    </w:p>
    <w:p w:rsidR="00A60FFC" w:rsidRPr="00127D40" w:rsidRDefault="00B82A13" w:rsidP="00127D40">
      <w:pPr>
        <w:spacing w:after="0"/>
        <w:rPr>
          <w:b/>
        </w:rPr>
      </w:pPr>
    </w:p>
    <w:p w:rsidR="008E6931" w:rsidRPr="009805D1" w:rsidRDefault="00B82A13" w:rsidP="00127D40">
      <w:pPr>
        <w:spacing w:after="0"/>
      </w:pPr>
      <w:r w:rsidRPr="00127D40">
        <w:rPr>
          <w:b/>
          <w:u w:val="single"/>
        </w:rPr>
        <w:t>Private Equity</w:t>
      </w:r>
    </w:p>
    <w:p w:rsidR="008E6931" w:rsidRPr="00770110" w:rsidRDefault="00B82A13" w:rsidP="008E6931">
      <w:pPr>
        <w:spacing w:after="0"/>
        <w:rPr>
          <w:rFonts w:cs="Arial"/>
        </w:rPr>
      </w:pPr>
      <w:r w:rsidRPr="00770110">
        <w:rPr>
          <w:rFonts w:cs="Arial"/>
        </w:rPr>
        <w:t>The objective is to outperform the MSCI World, net dividends reinvested, in GBP Index and provide investors with access to attractive private equity opportunities. All new investments will in</w:t>
      </w:r>
      <w:r w:rsidRPr="00770110">
        <w:rPr>
          <w:rFonts w:cs="Arial"/>
        </w:rPr>
        <w:t xml:space="preserve">clude but not be limited to the following sectors: Buyout, Venture Capital, Growth Equity, Special Situations/Distressed and Upstream Energy. </w:t>
      </w:r>
    </w:p>
    <w:p w:rsidR="008E6931" w:rsidRPr="00770110" w:rsidRDefault="00B82A13" w:rsidP="008E6931">
      <w:pPr>
        <w:spacing w:after="0"/>
        <w:rPr>
          <w:rFonts w:cs="Arial"/>
        </w:rPr>
      </w:pPr>
    </w:p>
    <w:p w:rsidR="008E6931" w:rsidRPr="009805D1" w:rsidRDefault="00B82A13" w:rsidP="00127D40">
      <w:pPr>
        <w:spacing w:after="0"/>
      </w:pPr>
      <w:r w:rsidRPr="00127D40">
        <w:rPr>
          <w:b/>
          <w:u w:val="single"/>
        </w:rPr>
        <w:t>Infrastructure</w:t>
      </w:r>
    </w:p>
    <w:p w:rsidR="008E6931" w:rsidRPr="00770110" w:rsidRDefault="00B82A13" w:rsidP="008E6931">
      <w:pPr>
        <w:spacing w:after="0"/>
        <w:rPr>
          <w:rFonts w:cs="Arial"/>
        </w:rPr>
      </w:pPr>
      <w:r w:rsidRPr="00770110">
        <w:rPr>
          <w:rFonts w:cs="Arial"/>
        </w:rPr>
        <w:t>The objective is to gain cost effective, diversified exposure to global infrastructure assets loc</w:t>
      </w:r>
      <w:r w:rsidRPr="00770110">
        <w:rPr>
          <w:rFonts w:cs="Arial"/>
        </w:rPr>
        <w:t xml:space="preserve">ated predominantly in OECD nations. These investments need to meet LCPF’s aims including: to generate a satisfactory risk adjusted return; improve diversification; provide predictable cash flows; and indirectly hedge against inflation. </w:t>
      </w:r>
    </w:p>
    <w:p w:rsidR="008E6931" w:rsidRPr="00770110" w:rsidRDefault="00B82A13" w:rsidP="008E6931">
      <w:pPr>
        <w:spacing w:after="0"/>
        <w:rPr>
          <w:rFonts w:cs="Arial"/>
        </w:rPr>
      </w:pPr>
    </w:p>
    <w:p w:rsidR="008E6931" w:rsidRPr="00770110" w:rsidRDefault="00B82A13" w:rsidP="008E6931">
      <w:pPr>
        <w:spacing w:after="0"/>
        <w:rPr>
          <w:rFonts w:cs="Arial"/>
          <w:b/>
          <w:u w:val="single"/>
        </w:rPr>
      </w:pPr>
      <w:r w:rsidRPr="00770110">
        <w:rPr>
          <w:rFonts w:cs="Arial"/>
          <w:b/>
          <w:u w:val="single"/>
        </w:rPr>
        <w:t>Alternative Credit</w:t>
      </w:r>
    </w:p>
    <w:p w:rsidR="008E6931" w:rsidRPr="00770110" w:rsidRDefault="00B82A13" w:rsidP="008E6931">
      <w:pPr>
        <w:spacing w:after="0"/>
        <w:rPr>
          <w:rFonts w:cs="Arial"/>
        </w:rPr>
      </w:pPr>
      <w:r w:rsidRPr="00770110">
        <w:rPr>
          <w:rFonts w:cs="Arial"/>
        </w:rPr>
        <w:t>The credit allocation will seek to gain cost effective exposure to diverse sources of return linked to global credit markets and credit instruments. The LPP I investment pool will pursue this aim primarily by allocating capital to investment vehicles, man</w:t>
      </w:r>
      <w:r w:rsidRPr="00770110">
        <w:rPr>
          <w:rFonts w:cs="Arial"/>
        </w:rPr>
        <w:t xml:space="preserve">dates or pooled funds managed by external third parties (“External Mandates”). </w:t>
      </w:r>
    </w:p>
    <w:p w:rsidR="008E6931" w:rsidRPr="00770110" w:rsidRDefault="00B82A13" w:rsidP="008E6931">
      <w:pPr>
        <w:spacing w:after="0"/>
        <w:rPr>
          <w:rFonts w:cs="Arial"/>
          <w:b/>
          <w:u w:val="single"/>
        </w:rPr>
      </w:pPr>
    </w:p>
    <w:p w:rsidR="008E6931" w:rsidRPr="00770110" w:rsidRDefault="00B82A13" w:rsidP="008E6931">
      <w:pPr>
        <w:spacing w:after="0"/>
        <w:rPr>
          <w:rFonts w:cs="Arial"/>
          <w:b/>
          <w:u w:val="single"/>
        </w:rPr>
      </w:pPr>
      <w:r w:rsidRPr="00770110">
        <w:rPr>
          <w:rFonts w:cs="Arial"/>
          <w:b/>
          <w:u w:val="single"/>
        </w:rPr>
        <w:t>Property</w:t>
      </w:r>
    </w:p>
    <w:p w:rsidR="008E6931" w:rsidRPr="00770110" w:rsidRDefault="00B82A13" w:rsidP="008E6931">
      <w:pPr>
        <w:spacing w:after="0"/>
        <w:rPr>
          <w:rFonts w:cs="Arial"/>
        </w:rPr>
      </w:pPr>
      <w:r w:rsidRPr="00770110">
        <w:rPr>
          <w:rFonts w:cs="Arial"/>
        </w:rPr>
        <w:t>LCPF will seek to gain cost effective, diversified exposure to UK and international property assets that meet its investment objectives: to generate a return in exces</w:t>
      </w:r>
      <w:r w:rsidRPr="00770110">
        <w:rPr>
          <w:rFonts w:cs="Arial"/>
        </w:rPr>
        <w:t>s of the benchmark; earn predictable cash flows; and provide a partial hedge against inflation. The largest exposure of the portfolio will be to traditional sectors of the UK commercial real estate market. A smaller allocation will be made to value-added a</w:t>
      </w:r>
      <w:r w:rsidRPr="00770110">
        <w:rPr>
          <w:rFonts w:cs="Arial"/>
        </w:rPr>
        <w:t>nd opportunistic investments.</w:t>
      </w:r>
    </w:p>
    <w:p w:rsidR="008E6931" w:rsidRPr="00770110" w:rsidRDefault="00B82A13" w:rsidP="008E6931">
      <w:pPr>
        <w:spacing w:after="0"/>
        <w:rPr>
          <w:rFonts w:cs="Arial"/>
        </w:rPr>
      </w:pPr>
    </w:p>
    <w:p w:rsidR="008E6931" w:rsidRPr="00770110" w:rsidRDefault="00B82A13" w:rsidP="008E6931">
      <w:pPr>
        <w:spacing w:after="0"/>
        <w:rPr>
          <w:rFonts w:cs="Arial"/>
          <w:b/>
          <w:u w:val="single"/>
        </w:rPr>
      </w:pPr>
      <w:r w:rsidRPr="00770110">
        <w:rPr>
          <w:rFonts w:cs="Arial"/>
          <w:b/>
          <w:u w:val="single"/>
        </w:rPr>
        <w:t>Total Return</w:t>
      </w:r>
    </w:p>
    <w:p w:rsidR="008E6931" w:rsidRPr="00770110" w:rsidRDefault="00B82A13" w:rsidP="008E6931">
      <w:pPr>
        <w:spacing w:after="0"/>
        <w:rPr>
          <w:rFonts w:cs="Arial"/>
        </w:rPr>
      </w:pPr>
      <w:r w:rsidRPr="00770110">
        <w:rPr>
          <w:rFonts w:cs="Arial"/>
        </w:rPr>
        <w:t xml:space="preserve">The LPP I total return pool seeks to gain cost effective exposure to diversifying sources of return distinct from global equity beta and bond duration. The LPP I pool will pursue this aim primarily by allocating </w:t>
      </w:r>
      <w:r w:rsidRPr="00770110">
        <w:rPr>
          <w:rFonts w:cs="Arial"/>
        </w:rPr>
        <w:t xml:space="preserve">capital to investment strategies managed by external third parties (“External Mandates”). </w:t>
      </w:r>
    </w:p>
    <w:p w:rsidR="008E6931" w:rsidRPr="00770110" w:rsidRDefault="00B82A13" w:rsidP="008E6931">
      <w:pPr>
        <w:spacing w:after="0"/>
        <w:rPr>
          <w:rFonts w:cs="Arial"/>
        </w:rPr>
      </w:pPr>
    </w:p>
    <w:p w:rsidR="008E6931" w:rsidRPr="00770110" w:rsidRDefault="00B82A13" w:rsidP="008E6931">
      <w:pPr>
        <w:spacing w:after="0"/>
        <w:rPr>
          <w:rFonts w:cs="Arial"/>
          <w:b/>
          <w:u w:val="single"/>
        </w:rPr>
      </w:pPr>
      <w:r w:rsidRPr="00770110">
        <w:rPr>
          <w:rFonts w:cs="Arial"/>
          <w:b/>
          <w:u w:val="single"/>
        </w:rPr>
        <w:t>Cash/ Liquidity</w:t>
      </w:r>
    </w:p>
    <w:p w:rsidR="00512FFE" w:rsidRPr="00127D40" w:rsidRDefault="00B82A13" w:rsidP="0042413E">
      <w:pPr>
        <w:rPr>
          <w:highlight w:val="green"/>
        </w:rPr>
      </w:pPr>
      <w:r w:rsidRPr="00770110">
        <w:rPr>
          <w:rFonts w:cs="Arial"/>
        </w:rPr>
        <w:t xml:space="preserve">The LPP I Liquidity pool will manage in a cost effective manner any cash balances by allocating capital to securities or funds directly in </w:t>
      </w:r>
      <w:r w:rsidRPr="00770110">
        <w:rPr>
          <w:rFonts w:cs="Arial"/>
        </w:rPr>
        <w:t>appropriate markets and in relevant currencies or hedged back to relevant currencies. The benchmark for the Liquidity pool is 1 month GBP LIBOR.</w:t>
      </w:r>
    </w:p>
    <w:p w:rsidR="00334FD0" w:rsidRPr="00140B2F" w:rsidRDefault="00B82A13" w:rsidP="0042413E">
      <w:pPr>
        <w:pStyle w:val="BodyText"/>
        <w:rPr>
          <w:b/>
          <w:u w:val="single"/>
        </w:rPr>
      </w:pPr>
      <w:r w:rsidRPr="00140B2F">
        <w:rPr>
          <w:rFonts w:cs="Arial"/>
          <w:u w:val="single"/>
        </w:rPr>
        <w:t xml:space="preserve">Investment Limits imposed under the Local Government Pension Scheme (Management and Investment of Fund’s) </w:t>
      </w:r>
      <w:r w:rsidRPr="00140B2F">
        <w:rPr>
          <w:rFonts w:cs="Arial"/>
          <w:u w:val="single"/>
        </w:rPr>
        <w:t>Regulations 2009</w:t>
      </w:r>
    </w:p>
    <w:p w:rsidR="00334FD0" w:rsidRPr="00140B2F" w:rsidRDefault="00B82A13" w:rsidP="0042413E">
      <w:pPr>
        <w:rPr>
          <w:rFonts w:cs="Arial"/>
        </w:rPr>
      </w:pPr>
      <w:r w:rsidRPr="00140B2F">
        <w:rPr>
          <w:rFonts w:cs="Arial"/>
        </w:rPr>
        <w:t>The 2009 regulations laid down the limits shown in Column 1 and Column 2 below, having consolidated the previous 1998, 2003, and 2005 Regulations.  The limits in Column 2 may be used by Local Authority Pension Funds if, following proper ad</w:t>
      </w:r>
      <w:r w:rsidRPr="00140B2F">
        <w:rPr>
          <w:rFonts w:cs="Arial"/>
        </w:rPr>
        <w:t>vice, they have sought approval by their Pension Fund Committees for the increases and the reasons for adopting the increases are detailed in the Statement of Investment Principles.</w:t>
      </w:r>
    </w:p>
    <w:p w:rsidR="00334FD0" w:rsidRPr="00140B2F" w:rsidRDefault="00B82A13" w:rsidP="0042413E">
      <w:pPr>
        <w:pStyle w:val="Header"/>
        <w:rPr>
          <w:rFonts w:cs="Arial"/>
          <w:color w:val="000000"/>
          <w:sz w:val="24"/>
          <w:szCs w:val="24"/>
        </w:rPr>
      </w:pPr>
      <w:r w:rsidRPr="00140B2F">
        <w:rPr>
          <w:rFonts w:cs="Arial"/>
          <w:color w:val="000000"/>
          <w:sz w:val="24"/>
          <w:szCs w:val="24"/>
        </w:rPr>
        <w:t>The Fund's Investment Panel and Pension Fund Committee have previously rev</w:t>
      </w:r>
      <w:r w:rsidRPr="00140B2F">
        <w:rPr>
          <w:rFonts w:cs="Arial"/>
          <w:color w:val="000000"/>
          <w:sz w:val="24"/>
          <w:szCs w:val="24"/>
        </w:rPr>
        <w:t xml:space="preserve">iewed the 2009 Regulations limits and have adopted the increased limits for </w:t>
      </w:r>
      <w:r w:rsidRPr="00140B2F">
        <w:rPr>
          <w:rFonts w:cs="Arial"/>
          <w:b/>
          <w:color w:val="000000"/>
          <w:sz w:val="24"/>
          <w:szCs w:val="24"/>
        </w:rPr>
        <w:t>any single insurance contract</w:t>
      </w:r>
      <w:r w:rsidRPr="00140B2F">
        <w:rPr>
          <w:rFonts w:cs="Arial"/>
          <w:color w:val="000000"/>
          <w:sz w:val="24"/>
          <w:szCs w:val="24"/>
        </w:rPr>
        <w:t xml:space="preserve"> and also for </w:t>
      </w:r>
      <w:r w:rsidRPr="00140B2F">
        <w:rPr>
          <w:rFonts w:cs="Arial"/>
          <w:b/>
          <w:color w:val="000000"/>
          <w:sz w:val="24"/>
          <w:szCs w:val="24"/>
        </w:rPr>
        <w:t>all contributions to partnerships</w:t>
      </w:r>
      <w:r w:rsidRPr="00140B2F">
        <w:rPr>
          <w:rFonts w:cs="Arial"/>
          <w:color w:val="000000"/>
          <w:sz w:val="24"/>
          <w:szCs w:val="24"/>
        </w:rPr>
        <w:t xml:space="preserve">.  </w:t>
      </w:r>
    </w:p>
    <w:p w:rsidR="00334FD0" w:rsidRPr="00140B2F" w:rsidRDefault="00B82A13" w:rsidP="0042413E">
      <w:pPr>
        <w:pStyle w:val="Header"/>
        <w:rPr>
          <w:rFonts w:cs="Arial"/>
          <w:color w:val="000000"/>
          <w:sz w:val="24"/>
          <w:szCs w:val="24"/>
        </w:rPr>
      </w:pPr>
    </w:p>
    <w:p w:rsidR="00334FD0" w:rsidRPr="00140B2F" w:rsidRDefault="00B82A13" w:rsidP="0042413E">
      <w:pPr>
        <w:pStyle w:val="Header"/>
        <w:spacing w:after="120"/>
        <w:rPr>
          <w:rFonts w:cs="Arial"/>
          <w:color w:val="000000"/>
          <w:sz w:val="24"/>
          <w:szCs w:val="24"/>
        </w:rPr>
      </w:pPr>
      <w:r w:rsidRPr="00140B2F">
        <w:rPr>
          <w:rFonts w:cs="Arial"/>
          <w:color w:val="000000"/>
          <w:sz w:val="24"/>
          <w:szCs w:val="24"/>
        </w:rPr>
        <w:t>The 2013 amendment to the 2009 Regulations increase</w:t>
      </w:r>
      <w:r w:rsidRPr="00140B2F">
        <w:rPr>
          <w:rFonts w:cs="Arial"/>
          <w:color w:val="000000"/>
          <w:sz w:val="24"/>
          <w:szCs w:val="24"/>
        </w:rPr>
        <w:t>d</w:t>
      </w:r>
      <w:r w:rsidRPr="00140B2F">
        <w:rPr>
          <w:rFonts w:cs="Arial"/>
          <w:color w:val="000000"/>
          <w:sz w:val="24"/>
          <w:szCs w:val="24"/>
        </w:rPr>
        <w:t xml:space="preserve"> the maximum proportion of a local government p</w:t>
      </w:r>
      <w:r w:rsidRPr="00140B2F">
        <w:rPr>
          <w:rFonts w:cs="Arial"/>
          <w:color w:val="000000"/>
          <w:sz w:val="24"/>
          <w:szCs w:val="24"/>
        </w:rPr>
        <w:t>ension fund which can be invested in contributions to partnerships from 15% to 30%.</w:t>
      </w:r>
    </w:p>
    <w:tbl>
      <w:tblPr>
        <w:tblW w:w="8652" w:type="dxa"/>
        <w:tblInd w:w="108" w:type="dxa"/>
        <w:tblLayout w:type="fixed"/>
        <w:tblLook w:val="04A0" w:firstRow="1" w:lastRow="0" w:firstColumn="1" w:lastColumn="0" w:noHBand="0" w:noVBand="1"/>
      </w:tblPr>
      <w:tblGrid>
        <w:gridCol w:w="4539"/>
        <w:gridCol w:w="1986"/>
        <w:gridCol w:w="2127"/>
      </w:tblGrid>
      <w:tr w:rsidR="00305F3D" w:rsidTr="002670C7">
        <w:trPr>
          <w:trHeight w:val="219"/>
          <w:tblHeader/>
        </w:trPr>
        <w:tc>
          <w:tcPr>
            <w:tcW w:w="4539" w:type="dxa"/>
            <w:tcBorders>
              <w:top w:val="single" w:sz="4" w:space="0" w:color="auto"/>
              <w:left w:val="single" w:sz="4" w:space="0" w:color="auto"/>
              <w:bottom w:val="nil"/>
              <w:right w:val="nil"/>
            </w:tcBorders>
            <w:shd w:val="clear" w:color="auto" w:fill="B8CCE4" w:themeFill="accent1" w:themeFillTint="66"/>
          </w:tcPr>
          <w:p w:rsidR="00334FD0" w:rsidRPr="00140B2F" w:rsidRDefault="00B82A13" w:rsidP="0042413E">
            <w:pPr>
              <w:rPr>
                <w:rFonts w:cs="Arial"/>
                <w:sz w:val="20"/>
              </w:rPr>
            </w:pPr>
          </w:p>
        </w:tc>
        <w:tc>
          <w:tcPr>
            <w:tcW w:w="1986" w:type="dxa"/>
            <w:tcBorders>
              <w:top w:val="single" w:sz="4" w:space="0" w:color="auto"/>
              <w:left w:val="single" w:sz="4" w:space="0" w:color="auto"/>
              <w:bottom w:val="nil"/>
              <w:right w:val="single" w:sz="4" w:space="0" w:color="auto"/>
            </w:tcBorders>
            <w:shd w:val="clear" w:color="auto" w:fill="B8CCE4" w:themeFill="accent1" w:themeFillTint="66"/>
            <w:hideMark/>
          </w:tcPr>
          <w:p w:rsidR="00334FD0" w:rsidRPr="00140B2F" w:rsidRDefault="00B82A13" w:rsidP="0042413E">
            <w:pPr>
              <w:rPr>
                <w:rFonts w:cs="Arial"/>
                <w:b/>
                <w:sz w:val="20"/>
              </w:rPr>
            </w:pPr>
            <w:r w:rsidRPr="00140B2F">
              <w:rPr>
                <w:rFonts w:cs="Arial"/>
                <w:b/>
                <w:sz w:val="20"/>
              </w:rPr>
              <w:t>Column (1)</w:t>
            </w:r>
          </w:p>
        </w:tc>
        <w:tc>
          <w:tcPr>
            <w:tcW w:w="2127" w:type="dxa"/>
            <w:tcBorders>
              <w:top w:val="single" w:sz="4" w:space="0" w:color="auto"/>
              <w:left w:val="nil"/>
              <w:bottom w:val="nil"/>
              <w:right w:val="single" w:sz="4" w:space="0" w:color="auto"/>
            </w:tcBorders>
            <w:shd w:val="clear" w:color="auto" w:fill="B8CCE4" w:themeFill="accent1" w:themeFillTint="66"/>
            <w:hideMark/>
          </w:tcPr>
          <w:p w:rsidR="00334FD0" w:rsidRPr="00140B2F" w:rsidRDefault="00B82A13" w:rsidP="0042413E">
            <w:pPr>
              <w:rPr>
                <w:rFonts w:cs="Arial"/>
                <w:b/>
                <w:sz w:val="20"/>
              </w:rPr>
            </w:pPr>
            <w:r w:rsidRPr="00140B2F">
              <w:rPr>
                <w:rFonts w:cs="Arial"/>
                <w:b/>
                <w:sz w:val="20"/>
              </w:rPr>
              <w:t>Column (2)</w:t>
            </w:r>
          </w:p>
        </w:tc>
      </w:tr>
      <w:tr w:rsidR="00305F3D" w:rsidTr="002670C7">
        <w:trPr>
          <w:tblHeader/>
        </w:trPr>
        <w:tc>
          <w:tcPr>
            <w:tcW w:w="4539" w:type="dxa"/>
            <w:tcBorders>
              <w:top w:val="nil"/>
              <w:left w:val="single" w:sz="4" w:space="0" w:color="auto"/>
              <w:bottom w:val="single" w:sz="4" w:space="0" w:color="auto"/>
              <w:right w:val="nil"/>
            </w:tcBorders>
            <w:shd w:val="clear" w:color="auto" w:fill="B8CCE4" w:themeFill="accent1" w:themeFillTint="66"/>
          </w:tcPr>
          <w:p w:rsidR="00334FD0" w:rsidRPr="00140B2F" w:rsidRDefault="00B82A13" w:rsidP="0042413E">
            <w:pPr>
              <w:pStyle w:val="Header"/>
              <w:rPr>
                <w:rFonts w:cs="Arial"/>
                <w:sz w:val="20"/>
              </w:rPr>
            </w:pPr>
          </w:p>
        </w:tc>
        <w:tc>
          <w:tcPr>
            <w:tcW w:w="1986" w:type="dxa"/>
            <w:tcBorders>
              <w:top w:val="nil"/>
              <w:left w:val="single" w:sz="4" w:space="0" w:color="auto"/>
              <w:bottom w:val="single" w:sz="4" w:space="0" w:color="auto"/>
              <w:right w:val="single" w:sz="4" w:space="0" w:color="auto"/>
            </w:tcBorders>
            <w:shd w:val="clear" w:color="auto" w:fill="B8CCE4" w:themeFill="accent1" w:themeFillTint="66"/>
            <w:hideMark/>
          </w:tcPr>
          <w:p w:rsidR="00334FD0" w:rsidRPr="00140B2F" w:rsidRDefault="00B82A13" w:rsidP="00D33D1E">
            <w:pPr>
              <w:ind w:left="204" w:hanging="240"/>
              <w:rPr>
                <w:rFonts w:cs="Arial"/>
                <w:b/>
                <w:sz w:val="20"/>
              </w:rPr>
            </w:pPr>
            <w:r w:rsidRPr="00140B2F">
              <w:rPr>
                <w:rFonts w:cs="Arial"/>
                <w:b/>
                <w:sz w:val="20"/>
              </w:rPr>
              <w:t>Limits under regulation 14 (2)</w:t>
            </w:r>
          </w:p>
        </w:tc>
        <w:tc>
          <w:tcPr>
            <w:tcW w:w="2127" w:type="dxa"/>
            <w:tcBorders>
              <w:top w:val="nil"/>
              <w:left w:val="nil"/>
              <w:bottom w:val="single" w:sz="4" w:space="0" w:color="auto"/>
              <w:right w:val="single" w:sz="4" w:space="0" w:color="auto"/>
            </w:tcBorders>
            <w:shd w:val="clear" w:color="auto" w:fill="B8CCE4" w:themeFill="accent1" w:themeFillTint="66"/>
            <w:hideMark/>
          </w:tcPr>
          <w:p w:rsidR="00334FD0" w:rsidRPr="00140B2F" w:rsidRDefault="00B82A13" w:rsidP="00D33D1E">
            <w:pPr>
              <w:ind w:left="197" w:hanging="240"/>
              <w:rPr>
                <w:rFonts w:cs="Arial"/>
                <w:b/>
                <w:sz w:val="20"/>
              </w:rPr>
            </w:pPr>
            <w:r w:rsidRPr="00140B2F">
              <w:rPr>
                <w:rFonts w:cs="Arial"/>
                <w:b/>
                <w:sz w:val="20"/>
              </w:rPr>
              <w:t>Limits under regulation 14 (3)</w:t>
            </w:r>
          </w:p>
        </w:tc>
      </w:tr>
      <w:tr w:rsidR="00305F3D" w:rsidTr="0042413E">
        <w:trPr>
          <w:trHeight w:val="414"/>
        </w:trPr>
        <w:tc>
          <w:tcPr>
            <w:tcW w:w="4539" w:type="dxa"/>
            <w:tcBorders>
              <w:top w:val="single" w:sz="4" w:space="0" w:color="auto"/>
              <w:left w:val="single" w:sz="4" w:space="0" w:color="auto"/>
              <w:bottom w:val="nil"/>
              <w:right w:val="nil"/>
            </w:tcBorders>
            <w:vAlign w:val="center"/>
            <w:hideMark/>
          </w:tcPr>
          <w:p w:rsidR="00334FD0" w:rsidRPr="00140B2F" w:rsidRDefault="00B82A13" w:rsidP="0042413E">
            <w:pPr>
              <w:numPr>
                <w:ilvl w:val="0"/>
                <w:numId w:val="9"/>
              </w:numPr>
              <w:tabs>
                <w:tab w:val="clear" w:pos="360"/>
                <w:tab w:val="left" w:pos="342"/>
              </w:tabs>
              <w:autoSpaceDE/>
              <w:autoSpaceDN/>
              <w:adjustRightInd/>
              <w:spacing w:after="0"/>
              <w:rPr>
                <w:sz w:val="20"/>
              </w:rPr>
            </w:pPr>
            <w:r w:rsidRPr="00140B2F">
              <w:rPr>
                <w:sz w:val="20"/>
              </w:rPr>
              <w:t>Any single sub-underwriting contract.</w:t>
            </w:r>
          </w:p>
        </w:tc>
        <w:tc>
          <w:tcPr>
            <w:tcW w:w="1986" w:type="dxa"/>
            <w:tcBorders>
              <w:top w:val="single" w:sz="4" w:space="0" w:color="auto"/>
              <w:left w:val="single" w:sz="4" w:space="0" w:color="auto"/>
              <w:bottom w:val="nil"/>
              <w:right w:val="single" w:sz="4" w:space="0" w:color="auto"/>
            </w:tcBorders>
            <w:vAlign w:val="center"/>
            <w:hideMark/>
          </w:tcPr>
          <w:p w:rsidR="00334FD0" w:rsidRPr="00140B2F" w:rsidRDefault="00B82A13" w:rsidP="00252A31">
            <w:pPr>
              <w:ind w:left="1680" w:hanging="240"/>
              <w:jc w:val="center"/>
              <w:rPr>
                <w:rFonts w:cs="Arial"/>
                <w:sz w:val="20"/>
              </w:rPr>
            </w:pPr>
            <w:r w:rsidRPr="00140B2F">
              <w:rPr>
                <w:rFonts w:cs="Arial"/>
                <w:sz w:val="20"/>
              </w:rPr>
              <w:t>1%</w:t>
            </w:r>
          </w:p>
        </w:tc>
        <w:tc>
          <w:tcPr>
            <w:tcW w:w="2127" w:type="dxa"/>
            <w:tcBorders>
              <w:top w:val="single" w:sz="4" w:space="0" w:color="auto"/>
              <w:left w:val="nil"/>
              <w:bottom w:val="nil"/>
              <w:right w:val="single" w:sz="4" w:space="0" w:color="auto"/>
            </w:tcBorders>
            <w:vAlign w:val="center"/>
            <w:hideMark/>
          </w:tcPr>
          <w:p w:rsidR="00334FD0" w:rsidRPr="00140B2F" w:rsidRDefault="00B82A13" w:rsidP="00252A31">
            <w:pPr>
              <w:ind w:left="1680" w:hanging="240"/>
              <w:jc w:val="center"/>
              <w:rPr>
                <w:rFonts w:cs="Arial"/>
                <w:sz w:val="20"/>
              </w:rPr>
            </w:pPr>
            <w:r w:rsidRPr="00140B2F">
              <w:rPr>
                <w:rFonts w:cs="Arial"/>
                <w:sz w:val="20"/>
              </w:rPr>
              <w:t>5%</w:t>
            </w:r>
          </w:p>
        </w:tc>
      </w:tr>
      <w:tr w:rsidR="00305F3D" w:rsidTr="0042413E">
        <w:trPr>
          <w:trHeight w:val="301"/>
        </w:trPr>
        <w:tc>
          <w:tcPr>
            <w:tcW w:w="4539" w:type="dxa"/>
            <w:tcBorders>
              <w:top w:val="nil"/>
              <w:left w:val="single" w:sz="4" w:space="0" w:color="auto"/>
              <w:bottom w:val="nil"/>
              <w:right w:val="nil"/>
            </w:tcBorders>
            <w:vAlign w:val="center"/>
            <w:hideMark/>
          </w:tcPr>
          <w:p w:rsidR="00334FD0" w:rsidRPr="00140B2F" w:rsidRDefault="00B82A13" w:rsidP="0042413E">
            <w:pPr>
              <w:numPr>
                <w:ilvl w:val="0"/>
                <w:numId w:val="9"/>
              </w:numPr>
              <w:tabs>
                <w:tab w:val="clear" w:pos="360"/>
                <w:tab w:val="left" w:pos="342"/>
              </w:tabs>
              <w:autoSpaceDE/>
              <w:autoSpaceDN/>
              <w:adjustRightInd/>
              <w:spacing w:after="0"/>
              <w:rPr>
                <w:sz w:val="20"/>
              </w:rPr>
            </w:pPr>
            <w:r w:rsidRPr="00140B2F">
              <w:rPr>
                <w:sz w:val="20"/>
              </w:rPr>
              <w:t xml:space="preserve">All contributions to any single </w:t>
            </w:r>
            <w:r w:rsidRPr="00140B2F">
              <w:rPr>
                <w:sz w:val="20"/>
              </w:rPr>
              <w:t>partnership.</w:t>
            </w:r>
          </w:p>
        </w:tc>
        <w:tc>
          <w:tcPr>
            <w:tcW w:w="1986" w:type="dxa"/>
            <w:tcBorders>
              <w:top w:val="nil"/>
              <w:left w:val="single" w:sz="4" w:space="0" w:color="auto"/>
              <w:bottom w:val="nil"/>
              <w:right w:val="single" w:sz="4" w:space="0" w:color="auto"/>
            </w:tcBorders>
            <w:vAlign w:val="center"/>
            <w:hideMark/>
          </w:tcPr>
          <w:p w:rsidR="00334FD0" w:rsidRPr="00140B2F" w:rsidRDefault="00B82A13" w:rsidP="00252A31">
            <w:pPr>
              <w:ind w:left="1680" w:hanging="240"/>
              <w:jc w:val="center"/>
              <w:rPr>
                <w:rFonts w:cs="Arial"/>
                <w:sz w:val="20"/>
              </w:rPr>
            </w:pPr>
            <w:r w:rsidRPr="00140B2F">
              <w:rPr>
                <w:rFonts w:cs="Arial"/>
                <w:sz w:val="20"/>
              </w:rPr>
              <w:t>2%</w:t>
            </w:r>
          </w:p>
        </w:tc>
        <w:tc>
          <w:tcPr>
            <w:tcW w:w="2127" w:type="dxa"/>
            <w:tcBorders>
              <w:top w:val="nil"/>
              <w:left w:val="nil"/>
              <w:bottom w:val="nil"/>
              <w:right w:val="single" w:sz="4" w:space="0" w:color="auto"/>
            </w:tcBorders>
            <w:vAlign w:val="center"/>
            <w:hideMark/>
          </w:tcPr>
          <w:p w:rsidR="00334FD0" w:rsidRPr="00140B2F" w:rsidRDefault="00B82A13" w:rsidP="00252A31">
            <w:pPr>
              <w:ind w:left="1680" w:hanging="240"/>
              <w:jc w:val="center"/>
              <w:rPr>
                <w:rFonts w:cs="Arial"/>
                <w:sz w:val="20"/>
              </w:rPr>
            </w:pPr>
            <w:r w:rsidRPr="00140B2F">
              <w:rPr>
                <w:rFonts w:cs="Arial"/>
                <w:sz w:val="20"/>
              </w:rPr>
              <w:t>5%</w:t>
            </w:r>
          </w:p>
        </w:tc>
      </w:tr>
      <w:tr w:rsidR="00305F3D" w:rsidTr="0042413E">
        <w:trPr>
          <w:trHeight w:val="432"/>
        </w:trPr>
        <w:tc>
          <w:tcPr>
            <w:tcW w:w="4539" w:type="dxa"/>
            <w:tcBorders>
              <w:top w:val="nil"/>
              <w:left w:val="single" w:sz="4" w:space="0" w:color="auto"/>
              <w:bottom w:val="single" w:sz="4" w:space="0" w:color="auto"/>
              <w:right w:val="nil"/>
            </w:tcBorders>
            <w:vAlign w:val="center"/>
            <w:hideMark/>
          </w:tcPr>
          <w:p w:rsidR="00334FD0" w:rsidRPr="00140B2F" w:rsidRDefault="00B82A13" w:rsidP="0042413E">
            <w:pPr>
              <w:numPr>
                <w:ilvl w:val="0"/>
                <w:numId w:val="9"/>
              </w:numPr>
              <w:tabs>
                <w:tab w:val="clear" w:pos="360"/>
                <w:tab w:val="left" w:pos="342"/>
              </w:tabs>
              <w:autoSpaceDE/>
              <w:autoSpaceDN/>
              <w:adjustRightInd/>
              <w:spacing w:after="0"/>
              <w:rPr>
                <w:sz w:val="20"/>
              </w:rPr>
            </w:pPr>
            <w:r w:rsidRPr="00140B2F">
              <w:rPr>
                <w:sz w:val="20"/>
              </w:rPr>
              <w:t>All contributions to partnerships.</w:t>
            </w:r>
          </w:p>
        </w:tc>
        <w:tc>
          <w:tcPr>
            <w:tcW w:w="1986" w:type="dxa"/>
            <w:tcBorders>
              <w:top w:val="nil"/>
              <w:left w:val="single" w:sz="4" w:space="0" w:color="auto"/>
              <w:bottom w:val="single" w:sz="4" w:space="0" w:color="auto"/>
              <w:right w:val="single" w:sz="4" w:space="0" w:color="auto"/>
            </w:tcBorders>
            <w:vAlign w:val="center"/>
            <w:hideMark/>
          </w:tcPr>
          <w:p w:rsidR="00334FD0" w:rsidRPr="00140B2F" w:rsidRDefault="00B82A13" w:rsidP="00252A31">
            <w:pPr>
              <w:ind w:left="1680" w:hanging="240"/>
              <w:jc w:val="center"/>
              <w:rPr>
                <w:rFonts w:cs="Arial"/>
                <w:sz w:val="20"/>
              </w:rPr>
            </w:pPr>
            <w:r w:rsidRPr="00140B2F">
              <w:rPr>
                <w:rFonts w:cs="Arial"/>
                <w:sz w:val="20"/>
              </w:rPr>
              <w:t>5%</w:t>
            </w:r>
          </w:p>
        </w:tc>
        <w:tc>
          <w:tcPr>
            <w:tcW w:w="2127" w:type="dxa"/>
            <w:tcBorders>
              <w:top w:val="nil"/>
              <w:left w:val="nil"/>
              <w:bottom w:val="single" w:sz="4" w:space="0" w:color="auto"/>
              <w:right w:val="single" w:sz="4" w:space="0" w:color="auto"/>
            </w:tcBorders>
            <w:vAlign w:val="center"/>
            <w:hideMark/>
          </w:tcPr>
          <w:p w:rsidR="00334FD0" w:rsidRPr="00140B2F" w:rsidRDefault="00B82A13" w:rsidP="00252A31">
            <w:pPr>
              <w:ind w:left="1680" w:hanging="240"/>
              <w:jc w:val="center"/>
              <w:rPr>
                <w:rFonts w:cs="Arial"/>
                <w:sz w:val="20"/>
              </w:rPr>
            </w:pPr>
            <w:r w:rsidRPr="00140B2F">
              <w:rPr>
                <w:rFonts w:cs="Arial"/>
                <w:sz w:val="20"/>
              </w:rPr>
              <w:t>30%</w:t>
            </w:r>
          </w:p>
        </w:tc>
      </w:tr>
      <w:tr w:rsidR="00305F3D" w:rsidTr="0042413E">
        <w:trPr>
          <w:trHeight w:val="403"/>
        </w:trPr>
        <w:tc>
          <w:tcPr>
            <w:tcW w:w="4539" w:type="dxa"/>
            <w:tcBorders>
              <w:top w:val="single" w:sz="4" w:space="0" w:color="auto"/>
              <w:left w:val="single" w:sz="4" w:space="0" w:color="auto"/>
              <w:bottom w:val="nil"/>
              <w:right w:val="nil"/>
            </w:tcBorders>
            <w:vAlign w:val="center"/>
            <w:hideMark/>
          </w:tcPr>
          <w:p w:rsidR="00334FD0" w:rsidRPr="00140B2F" w:rsidRDefault="00B82A13" w:rsidP="0042413E">
            <w:pPr>
              <w:numPr>
                <w:ilvl w:val="0"/>
                <w:numId w:val="9"/>
              </w:numPr>
              <w:tabs>
                <w:tab w:val="clear" w:pos="360"/>
                <w:tab w:val="left" w:pos="342"/>
              </w:tabs>
              <w:autoSpaceDE/>
              <w:autoSpaceDN/>
              <w:adjustRightInd/>
              <w:spacing w:after="0"/>
              <w:rPr>
                <w:sz w:val="20"/>
              </w:rPr>
            </w:pPr>
            <w:r w:rsidRPr="00140B2F">
              <w:rPr>
                <w:sz w:val="20"/>
              </w:rPr>
              <w:t>with the sum of -</w:t>
            </w:r>
          </w:p>
        </w:tc>
        <w:tc>
          <w:tcPr>
            <w:tcW w:w="1986" w:type="dxa"/>
            <w:tcBorders>
              <w:top w:val="single" w:sz="4" w:space="0" w:color="auto"/>
              <w:left w:val="single" w:sz="4" w:space="0" w:color="auto"/>
              <w:bottom w:val="nil"/>
              <w:right w:val="single" w:sz="4" w:space="0" w:color="auto"/>
            </w:tcBorders>
            <w:vAlign w:val="center"/>
            <w:hideMark/>
          </w:tcPr>
          <w:p w:rsidR="00334FD0" w:rsidRPr="00140B2F" w:rsidRDefault="00B82A13" w:rsidP="00252A31">
            <w:pPr>
              <w:ind w:left="1680" w:hanging="240"/>
              <w:jc w:val="center"/>
              <w:rPr>
                <w:rFonts w:cs="Arial"/>
                <w:sz w:val="20"/>
              </w:rPr>
            </w:pPr>
            <w:r w:rsidRPr="00140B2F">
              <w:rPr>
                <w:rFonts w:cs="Arial"/>
                <w:sz w:val="20"/>
              </w:rPr>
              <w:t>10%</w:t>
            </w:r>
          </w:p>
        </w:tc>
        <w:tc>
          <w:tcPr>
            <w:tcW w:w="2127" w:type="dxa"/>
            <w:tcBorders>
              <w:top w:val="single" w:sz="4" w:space="0" w:color="auto"/>
              <w:left w:val="nil"/>
              <w:bottom w:val="nil"/>
              <w:right w:val="single" w:sz="4" w:space="0" w:color="auto"/>
            </w:tcBorders>
            <w:vAlign w:val="center"/>
            <w:hideMark/>
          </w:tcPr>
          <w:p w:rsidR="00334FD0" w:rsidRPr="00140B2F" w:rsidRDefault="00B82A13" w:rsidP="00252A31">
            <w:pPr>
              <w:ind w:left="1680" w:hanging="240"/>
              <w:jc w:val="center"/>
              <w:rPr>
                <w:rFonts w:cs="Arial"/>
                <w:sz w:val="20"/>
              </w:rPr>
            </w:pPr>
            <w:r w:rsidRPr="00140B2F">
              <w:rPr>
                <w:rFonts w:cs="Arial"/>
                <w:sz w:val="20"/>
              </w:rPr>
              <w:t>-</w:t>
            </w:r>
          </w:p>
        </w:tc>
      </w:tr>
      <w:tr w:rsidR="00305F3D" w:rsidTr="0042413E">
        <w:trPr>
          <w:trHeight w:val="375"/>
        </w:trPr>
        <w:tc>
          <w:tcPr>
            <w:tcW w:w="4539" w:type="dxa"/>
            <w:tcBorders>
              <w:top w:val="nil"/>
              <w:left w:val="single" w:sz="4" w:space="0" w:color="auto"/>
              <w:bottom w:val="nil"/>
              <w:right w:val="nil"/>
            </w:tcBorders>
            <w:vAlign w:val="center"/>
            <w:hideMark/>
          </w:tcPr>
          <w:p w:rsidR="00334FD0" w:rsidRPr="00140B2F" w:rsidRDefault="00B82A13" w:rsidP="0042413E">
            <w:pPr>
              <w:tabs>
                <w:tab w:val="left" w:pos="342"/>
              </w:tabs>
              <w:ind w:left="342" w:hanging="240"/>
              <w:rPr>
                <w:rFonts w:cs="Arial"/>
                <w:sz w:val="20"/>
              </w:rPr>
            </w:pPr>
            <w:r w:rsidRPr="00140B2F">
              <w:rPr>
                <w:rFonts w:cs="Arial"/>
                <w:sz w:val="20"/>
              </w:rPr>
              <w:t xml:space="preserve">(a) all loans; and </w:t>
            </w:r>
          </w:p>
        </w:tc>
        <w:tc>
          <w:tcPr>
            <w:tcW w:w="1986" w:type="dxa"/>
            <w:tcBorders>
              <w:top w:val="nil"/>
              <w:left w:val="single" w:sz="4" w:space="0" w:color="auto"/>
              <w:bottom w:val="nil"/>
              <w:right w:val="single" w:sz="4" w:space="0" w:color="auto"/>
            </w:tcBorders>
            <w:vAlign w:val="center"/>
          </w:tcPr>
          <w:p w:rsidR="00334FD0" w:rsidRPr="00140B2F" w:rsidRDefault="00B82A13" w:rsidP="00252A31">
            <w:pPr>
              <w:jc w:val="center"/>
              <w:rPr>
                <w:rFonts w:cs="Arial"/>
                <w:sz w:val="20"/>
              </w:rPr>
            </w:pPr>
          </w:p>
        </w:tc>
        <w:tc>
          <w:tcPr>
            <w:tcW w:w="2127" w:type="dxa"/>
            <w:tcBorders>
              <w:top w:val="nil"/>
              <w:left w:val="nil"/>
              <w:bottom w:val="nil"/>
              <w:right w:val="single" w:sz="4" w:space="0" w:color="auto"/>
            </w:tcBorders>
            <w:vAlign w:val="center"/>
          </w:tcPr>
          <w:p w:rsidR="00334FD0" w:rsidRPr="00140B2F" w:rsidRDefault="00B82A13" w:rsidP="00252A31">
            <w:pPr>
              <w:jc w:val="center"/>
              <w:rPr>
                <w:rFonts w:cs="Arial"/>
                <w:sz w:val="20"/>
              </w:rPr>
            </w:pPr>
          </w:p>
        </w:tc>
      </w:tr>
      <w:tr w:rsidR="00305F3D" w:rsidTr="0042413E">
        <w:trPr>
          <w:trHeight w:val="375"/>
        </w:trPr>
        <w:tc>
          <w:tcPr>
            <w:tcW w:w="4539" w:type="dxa"/>
            <w:tcBorders>
              <w:top w:val="nil"/>
              <w:left w:val="single" w:sz="4" w:space="0" w:color="auto"/>
              <w:bottom w:val="nil"/>
              <w:right w:val="nil"/>
            </w:tcBorders>
            <w:vAlign w:val="center"/>
            <w:hideMark/>
          </w:tcPr>
          <w:p w:rsidR="00334FD0" w:rsidRPr="00140B2F" w:rsidRDefault="00B82A13" w:rsidP="0042413E">
            <w:pPr>
              <w:tabs>
                <w:tab w:val="left" w:pos="342"/>
              </w:tabs>
              <w:ind w:left="342" w:hanging="240"/>
              <w:rPr>
                <w:rFonts w:cs="Arial"/>
                <w:sz w:val="20"/>
              </w:rPr>
            </w:pPr>
            <w:r w:rsidRPr="00140B2F">
              <w:rPr>
                <w:rFonts w:cs="Arial"/>
                <w:sz w:val="20"/>
              </w:rPr>
              <w:t>(b) and deposits with -</w:t>
            </w:r>
          </w:p>
        </w:tc>
        <w:tc>
          <w:tcPr>
            <w:tcW w:w="1986" w:type="dxa"/>
            <w:tcBorders>
              <w:top w:val="nil"/>
              <w:left w:val="single" w:sz="4" w:space="0" w:color="auto"/>
              <w:bottom w:val="nil"/>
              <w:right w:val="single" w:sz="4" w:space="0" w:color="auto"/>
            </w:tcBorders>
            <w:vAlign w:val="center"/>
          </w:tcPr>
          <w:p w:rsidR="00334FD0" w:rsidRPr="00140B2F" w:rsidRDefault="00B82A13" w:rsidP="00252A31">
            <w:pPr>
              <w:jc w:val="center"/>
              <w:rPr>
                <w:rFonts w:cs="Arial"/>
                <w:sz w:val="20"/>
              </w:rPr>
            </w:pPr>
          </w:p>
        </w:tc>
        <w:tc>
          <w:tcPr>
            <w:tcW w:w="2127" w:type="dxa"/>
            <w:tcBorders>
              <w:top w:val="nil"/>
              <w:left w:val="nil"/>
              <w:bottom w:val="nil"/>
              <w:right w:val="single" w:sz="4" w:space="0" w:color="auto"/>
            </w:tcBorders>
            <w:vAlign w:val="center"/>
          </w:tcPr>
          <w:p w:rsidR="00334FD0" w:rsidRPr="00140B2F" w:rsidRDefault="00B82A13" w:rsidP="00252A31">
            <w:pPr>
              <w:jc w:val="center"/>
              <w:rPr>
                <w:rFonts w:cs="Arial"/>
                <w:sz w:val="20"/>
              </w:rPr>
            </w:pPr>
          </w:p>
        </w:tc>
      </w:tr>
      <w:tr w:rsidR="00305F3D" w:rsidTr="0042413E">
        <w:trPr>
          <w:trHeight w:val="375"/>
        </w:trPr>
        <w:tc>
          <w:tcPr>
            <w:tcW w:w="4539" w:type="dxa"/>
            <w:tcBorders>
              <w:top w:val="nil"/>
              <w:left w:val="single" w:sz="4" w:space="0" w:color="auto"/>
              <w:bottom w:val="nil"/>
              <w:right w:val="nil"/>
            </w:tcBorders>
            <w:vAlign w:val="center"/>
            <w:hideMark/>
          </w:tcPr>
          <w:p w:rsidR="00334FD0" w:rsidRPr="00140B2F" w:rsidRDefault="00B82A13" w:rsidP="0042413E">
            <w:pPr>
              <w:tabs>
                <w:tab w:val="left" w:pos="342"/>
              </w:tabs>
              <w:ind w:left="342" w:hanging="240"/>
              <w:rPr>
                <w:rFonts w:cs="Arial"/>
                <w:sz w:val="20"/>
              </w:rPr>
            </w:pPr>
            <w:r w:rsidRPr="00140B2F">
              <w:rPr>
                <w:rFonts w:cs="Arial"/>
                <w:sz w:val="20"/>
              </w:rPr>
              <w:t>(i)   any local authority, or</w:t>
            </w:r>
          </w:p>
        </w:tc>
        <w:tc>
          <w:tcPr>
            <w:tcW w:w="1986" w:type="dxa"/>
            <w:tcBorders>
              <w:top w:val="nil"/>
              <w:left w:val="single" w:sz="4" w:space="0" w:color="auto"/>
              <w:bottom w:val="nil"/>
              <w:right w:val="single" w:sz="4" w:space="0" w:color="auto"/>
            </w:tcBorders>
            <w:vAlign w:val="center"/>
          </w:tcPr>
          <w:p w:rsidR="00334FD0" w:rsidRPr="00140B2F" w:rsidRDefault="00B82A13" w:rsidP="00252A31">
            <w:pPr>
              <w:jc w:val="center"/>
              <w:rPr>
                <w:rFonts w:cs="Arial"/>
                <w:sz w:val="20"/>
              </w:rPr>
            </w:pPr>
          </w:p>
        </w:tc>
        <w:tc>
          <w:tcPr>
            <w:tcW w:w="2127" w:type="dxa"/>
            <w:tcBorders>
              <w:top w:val="nil"/>
              <w:left w:val="nil"/>
              <w:bottom w:val="nil"/>
              <w:right w:val="single" w:sz="4" w:space="0" w:color="auto"/>
            </w:tcBorders>
            <w:vAlign w:val="center"/>
          </w:tcPr>
          <w:p w:rsidR="00334FD0" w:rsidRPr="00140B2F" w:rsidRDefault="00B82A13" w:rsidP="00252A31">
            <w:pPr>
              <w:jc w:val="center"/>
              <w:rPr>
                <w:rFonts w:cs="Arial"/>
                <w:sz w:val="20"/>
              </w:rPr>
            </w:pPr>
          </w:p>
        </w:tc>
      </w:tr>
      <w:tr w:rsidR="00305F3D" w:rsidTr="0042413E">
        <w:tc>
          <w:tcPr>
            <w:tcW w:w="4539" w:type="dxa"/>
            <w:tcBorders>
              <w:top w:val="nil"/>
              <w:left w:val="single" w:sz="4" w:space="0" w:color="auto"/>
              <w:bottom w:val="nil"/>
              <w:right w:val="nil"/>
            </w:tcBorders>
            <w:vAlign w:val="center"/>
            <w:hideMark/>
          </w:tcPr>
          <w:p w:rsidR="00334FD0" w:rsidRPr="00140B2F" w:rsidRDefault="00B82A13" w:rsidP="0042413E">
            <w:pPr>
              <w:tabs>
                <w:tab w:val="left" w:pos="342"/>
              </w:tabs>
              <w:ind w:left="720" w:hanging="378"/>
              <w:rPr>
                <w:rFonts w:cs="Arial"/>
                <w:sz w:val="20"/>
              </w:rPr>
            </w:pPr>
            <w:r w:rsidRPr="00140B2F">
              <w:rPr>
                <w:rFonts w:cs="Arial"/>
                <w:sz w:val="20"/>
              </w:rPr>
              <w:t>(ii)</w:t>
            </w:r>
            <w:r w:rsidRPr="00140B2F">
              <w:rPr>
                <w:rFonts w:cs="Arial"/>
                <w:sz w:val="20"/>
              </w:rPr>
              <w:tab/>
              <w:t xml:space="preserve">any body with power to issue a precept of requisition to a local authority, or </w:t>
            </w:r>
            <w:r w:rsidRPr="00140B2F">
              <w:rPr>
                <w:rFonts w:cs="Arial"/>
                <w:sz w:val="20"/>
              </w:rPr>
              <w:t>to the expenses of which a local authority can be required to contribute,</w:t>
            </w:r>
          </w:p>
        </w:tc>
        <w:tc>
          <w:tcPr>
            <w:tcW w:w="1986" w:type="dxa"/>
            <w:tcBorders>
              <w:top w:val="nil"/>
              <w:left w:val="single" w:sz="4" w:space="0" w:color="auto"/>
              <w:bottom w:val="nil"/>
              <w:right w:val="single" w:sz="4" w:space="0" w:color="auto"/>
            </w:tcBorders>
            <w:vAlign w:val="center"/>
          </w:tcPr>
          <w:p w:rsidR="00334FD0" w:rsidRPr="00140B2F" w:rsidRDefault="00B82A13" w:rsidP="00252A31">
            <w:pPr>
              <w:jc w:val="center"/>
              <w:rPr>
                <w:rFonts w:cs="Arial"/>
                <w:sz w:val="20"/>
              </w:rPr>
            </w:pPr>
          </w:p>
        </w:tc>
        <w:tc>
          <w:tcPr>
            <w:tcW w:w="2127" w:type="dxa"/>
            <w:tcBorders>
              <w:top w:val="nil"/>
              <w:left w:val="nil"/>
              <w:bottom w:val="nil"/>
              <w:right w:val="single" w:sz="4" w:space="0" w:color="auto"/>
            </w:tcBorders>
            <w:vAlign w:val="center"/>
          </w:tcPr>
          <w:p w:rsidR="00334FD0" w:rsidRPr="00140B2F" w:rsidRDefault="00B82A13" w:rsidP="00252A31">
            <w:pPr>
              <w:jc w:val="center"/>
              <w:rPr>
                <w:rFonts w:cs="Arial"/>
                <w:sz w:val="20"/>
              </w:rPr>
            </w:pPr>
          </w:p>
        </w:tc>
      </w:tr>
      <w:tr w:rsidR="00305F3D" w:rsidTr="0042413E">
        <w:tc>
          <w:tcPr>
            <w:tcW w:w="4539" w:type="dxa"/>
            <w:tcBorders>
              <w:top w:val="nil"/>
              <w:left w:val="single" w:sz="4" w:space="0" w:color="auto"/>
              <w:bottom w:val="nil"/>
              <w:right w:val="nil"/>
            </w:tcBorders>
            <w:vAlign w:val="center"/>
            <w:hideMark/>
          </w:tcPr>
          <w:p w:rsidR="00334FD0" w:rsidRPr="00140B2F" w:rsidRDefault="00B82A13" w:rsidP="0042413E">
            <w:pPr>
              <w:tabs>
                <w:tab w:val="left" w:pos="709"/>
              </w:tabs>
              <w:ind w:left="709" w:hanging="240"/>
              <w:rPr>
                <w:rFonts w:cs="Arial"/>
                <w:sz w:val="20"/>
              </w:rPr>
            </w:pPr>
            <w:r w:rsidRPr="00140B2F">
              <w:rPr>
                <w:rFonts w:cs="Arial"/>
                <w:sz w:val="20"/>
              </w:rPr>
              <w:t xml:space="preserve">which is an exempt person (within the meaning of the Financial Services and Markets Act 2000(a)) in respect of accepting deposits as a result of an order made under section 38(1) </w:t>
            </w:r>
            <w:r w:rsidRPr="00140B2F">
              <w:rPr>
                <w:rFonts w:cs="Arial"/>
                <w:sz w:val="20"/>
              </w:rPr>
              <w:t xml:space="preserve">of that Act, and all loans. </w:t>
            </w:r>
          </w:p>
        </w:tc>
        <w:tc>
          <w:tcPr>
            <w:tcW w:w="1986" w:type="dxa"/>
            <w:tcBorders>
              <w:top w:val="nil"/>
              <w:left w:val="single" w:sz="4" w:space="0" w:color="auto"/>
              <w:bottom w:val="nil"/>
              <w:right w:val="single" w:sz="4" w:space="0" w:color="auto"/>
            </w:tcBorders>
            <w:vAlign w:val="center"/>
          </w:tcPr>
          <w:p w:rsidR="00334FD0" w:rsidRPr="00140B2F" w:rsidRDefault="00B82A13" w:rsidP="00252A31">
            <w:pPr>
              <w:jc w:val="center"/>
              <w:rPr>
                <w:rFonts w:cs="Arial"/>
                <w:sz w:val="20"/>
              </w:rPr>
            </w:pPr>
          </w:p>
        </w:tc>
        <w:tc>
          <w:tcPr>
            <w:tcW w:w="2127" w:type="dxa"/>
            <w:tcBorders>
              <w:top w:val="nil"/>
              <w:left w:val="nil"/>
              <w:bottom w:val="nil"/>
              <w:right w:val="single" w:sz="4" w:space="0" w:color="auto"/>
            </w:tcBorders>
            <w:vAlign w:val="center"/>
          </w:tcPr>
          <w:p w:rsidR="00334FD0" w:rsidRPr="00140B2F" w:rsidRDefault="00B82A13" w:rsidP="00252A31">
            <w:pPr>
              <w:jc w:val="center"/>
              <w:rPr>
                <w:rFonts w:cs="Arial"/>
                <w:sz w:val="20"/>
              </w:rPr>
            </w:pPr>
          </w:p>
        </w:tc>
      </w:tr>
      <w:tr w:rsidR="00305F3D" w:rsidTr="0042413E">
        <w:trPr>
          <w:trHeight w:val="381"/>
        </w:trPr>
        <w:tc>
          <w:tcPr>
            <w:tcW w:w="4539" w:type="dxa"/>
            <w:tcBorders>
              <w:top w:val="nil"/>
              <w:left w:val="single" w:sz="4" w:space="0" w:color="auto"/>
              <w:bottom w:val="nil"/>
              <w:right w:val="nil"/>
            </w:tcBorders>
            <w:vAlign w:val="center"/>
            <w:hideMark/>
          </w:tcPr>
          <w:p w:rsidR="00334FD0" w:rsidRPr="00140B2F" w:rsidRDefault="00B82A13" w:rsidP="0042413E">
            <w:pPr>
              <w:numPr>
                <w:ilvl w:val="0"/>
                <w:numId w:val="9"/>
              </w:numPr>
              <w:tabs>
                <w:tab w:val="clear" w:pos="360"/>
                <w:tab w:val="left" w:pos="342"/>
              </w:tabs>
              <w:autoSpaceDE/>
              <w:autoSpaceDN/>
              <w:adjustRightInd/>
              <w:spacing w:after="0"/>
              <w:rPr>
                <w:sz w:val="20"/>
              </w:rPr>
            </w:pPr>
            <w:r w:rsidRPr="00140B2F">
              <w:rPr>
                <w:sz w:val="20"/>
              </w:rPr>
              <w:t>All investments in unlisted securities of companies.</w:t>
            </w:r>
          </w:p>
        </w:tc>
        <w:tc>
          <w:tcPr>
            <w:tcW w:w="1986" w:type="dxa"/>
            <w:tcBorders>
              <w:top w:val="nil"/>
              <w:left w:val="single" w:sz="4" w:space="0" w:color="auto"/>
              <w:bottom w:val="nil"/>
              <w:right w:val="single" w:sz="4" w:space="0" w:color="auto"/>
            </w:tcBorders>
            <w:vAlign w:val="center"/>
            <w:hideMark/>
          </w:tcPr>
          <w:p w:rsidR="00334FD0" w:rsidRPr="00140B2F" w:rsidRDefault="00B82A13" w:rsidP="00252A31">
            <w:pPr>
              <w:ind w:left="1680" w:hanging="240"/>
              <w:jc w:val="center"/>
              <w:rPr>
                <w:rFonts w:cs="Arial"/>
                <w:sz w:val="20"/>
              </w:rPr>
            </w:pPr>
            <w:r w:rsidRPr="00140B2F">
              <w:rPr>
                <w:rFonts w:cs="Arial"/>
                <w:sz w:val="20"/>
              </w:rPr>
              <w:t>10%</w:t>
            </w:r>
          </w:p>
        </w:tc>
        <w:tc>
          <w:tcPr>
            <w:tcW w:w="2127" w:type="dxa"/>
            <w:tcBorders>
              <w:top w:val="nil"/>
              <w:left w:val="nil"/>
              <w:bottom w:val="nil"/>
              <w:right w:val="single" w:sz="4" w:space="0" w:color="auto"/>
            </w:tcBorders>
            <w:vAlign w:val="center"/>
            <w:hideMark/>
          </w:tcPr>
          <w:p w:rsidR="00334FD0" w:rsidRPr="00140B2F" w:rsidRDefault="00B82A13" w:rsidP="00252A31">
            <w:pPr>
              <w:ind w:left="1680" w:hanging="240"/>
              <w:jc w:val="center"/>
              <w:rPr>
                <w:rFonts w:cs="Arial"/>
                <w:sz w:val="20"/>
              </w:rPr>
            </w:pPr>
            <w:r w:rsidRPr="00140B2F">
              <w:rPr>
                <w:rFonts w:cs="Arial"/>
                <w:sz w:val="20"/>
              </w:rPr>
              <w:t>15%</w:t>
            </w:r>
          </w:p>
        </w:tc>
      </w:tr>
      <w:tr w:rsidR="00305F3D" w:rsidTr="0042413E">
        <w:trPr>
          <w:trHeight w:val="301"/>
        </w:trPr>
        <w:tc>
          <w:tcPr>
            <w:tcW w:w="4539" w:type="dxa"/>
            <w:tcBorders>
              <w:top w:val="nil"/>
              <w:left w:val="single" w:sz="4" w:space="0" w:color="auto"/>
              <w:bottom w:val="nil"/>
              <w:right w:val="nil"/>
            </w:tcBorders>
            <w:vAlign w:val="center"/>
            <w:hideMark/>
          </w:tcPr>
          <w:p w:rsidR="00334FD0" w:rsidRPr="00140B2F" w:rsidRDefault="00B82A13" w:rsidP="0042413E">
            <w:pPr>
              <w:numPr>
                <w:ilvl w:val="0"/>
                <w:numId w:val="9"/>
              </w:numPr>
              <w:tabs>
                <w:tab w:val="clear" w:pos="360"/>
                <w:tab w:val="left" w:pos="342"/>
              </w:tabs>
              <w:autoSpaceDE/>
              <w:autoSpaceDN/>
              <w:adjustRightInd/>
              <w:spacing w:after="0"/>
              <w:rPr>
                <w:sz w:val="20"/>
              </w:rPr>
            </w:pPr>
            <w:r w:rsidRPr="00140B2F">
              <w:rPr>
                <w:sz w:val="20"/>
              </w:rPr>
              <w:t>Any single holding.</w:t>
            </w:r>
          </w:p>
        </w:tc>
        <w:tc>
          <w:tcPr>
            <w:tcW w:w="1986" w:type="dxa"/>
            <w:tcBorders>
              <w:top w:val="nil"/>
              <w:left w:val="single" w:sz="4" w:space="0" w:color="auto"/>
              <w:bottom w:val="nil"/>
              <w:right w:val="single" w:sz="4" w:space="0" w:color="auto"/>
            </w:tcBorders>
            <w:vAlign w:val="center"/>
            <w:hideMark/>
          </w:tcPr>
          <w:p w:rsidR="00334FD0" w:rsidRPr="00140B2F" w:rsidRDefault="00B82A13" w:rsidP="00252A31">
            <w:pPr>
              <w:ind w:left="1680" w:hanging="240"/>
              <w:jc w:val="center"/>
              <w:rPr>
                <w:rFonts w:cs="Arial"/>
                <w:sz w:val="20"/>
              </w:rPr>
            </w:pPr>
            <w:r w:rsidRPr="00140B2F">
              <w:rPr>
                <w:rFonts w:cs="Arial"/>
                <w:sz w:val="20"/>
              </w:rPr>
              <w:t>10%</w:t>
            </w:r>
          </w:p>
        </w:tc>
        <w:tc>
          <w:tcPr>
            <w:tcW w:w="2127" w:type="dxa"/>
            <w:tcBorders>
              <w:top w:val="nil"/>
              <w:left w:val="nil"/>
              <w:bottom w:val="nil"/>
              <w:right w:val="single" w:sz="4" w:space="0" w:color="auto"/>
            </w:tcBorders>
            <w:vAlign w:val="center"/>
            <w:hideMark/>
          </w:tcPr>
          <w:p w:rsidR="00334FD0" w:rsidRPr="00140B2F" w:rsidRDefault="00B82A13" w:rsidP="00252A31">
            <w:pPr>
              <w:ind w:left="1680" w:hanging="240"/>
              <w:jc w:val="center"/>
              <w:rPr>
                <w:rFonts w:cs="Arial"/>
                <w:sz w:val="20"/>
              </w:rPr>
            </w:pPr>
            <w:r w:rsidRPr="00140B2F">
              <w:rPr>
                <w:rFonts w:cs="Arial"/>
                <w:sz w:val="20"/>
              </w:rPr>
              <w:t>-</w:t>
            </w:r>
          </w:p>
        </w:tc>
      </w:tr>
      <w:tr w:rsidR="00305F3D" w:rsidTr="0042413E">
        <w:trPr>
          <w:trHeight w:val="561"/>
        </w:trPr>
        <w:tc>
          <w:tcPr>
            <w:tcW w:w="4539" w:type="dxa"/>
            <w:tcBorders>
              <w:top w:val="nil"/>
              <w:left w:val="single" w:sz="4" w:space="0" w:color="auto"/>
              <w:bottom w:val="nil"/>
              <w:right w:val="nil"/>
            </w:tcBorders>
            <w:vAlign w:val="center"/>
            <w:hideMark/>
          </w:tcPr>
          <w:p w:rsidR="00334FD0" w:rsidRPr="00140B2F" w:rsidRDefault="00B82A13" w:rsidP="0042413E">
            <w:pPr>
              <w:numPr>
                <w:ilvl w:val="0"/>
                <w:numId w:val="9"/>
              </w:numPr>
              <w:tabs>
                <w:tab w:val="clear" w:pos="360"/>
                <w:tab w:val="left" w:pos="342"/>
              </w:tabs>
              <w:autoSpaceDE/>
              <w:autoSpaceDN/>
              <w:adjustRightInd/>
              <w:spacing w:after="0"/>
              <w:rPr>
                <w:sz w:val="20"/>
              </w:rPr>
            </w:pPr>
            <w:r w:rsidRPr="00140B2F">
              <w:rPr>
                <w:sz w:val="20"/>
              </w:rPr>
              <w:t>All deposits with any single bank, institution or person (other than the National Savings Bank).</w:t>
            </w:r>
          </w:p>
        </w:tc>
        <w:tc>
          <w:tcPr>
            <w:tcW w:w="1986" w:type="dxa"/>
            <w:tcBorders>
              <w:top w:val="nil"/>
              <w:left w:val="single" w:sz="4" w:space="0" w:color="auto"/>
              <w:bottom w:val="nil"/>
              <w:right w:val="single" w:sz="4" w:space="0" w:color="auto"/>
            </w:tcBorders>
            <w:vAlign w:val="center"/>
            <w:hideMark/>
          </w:tcPr>
          <w:p w:rsidR="00334FD0" w:rsidRPr="00140B2F" w:rsidRDefault="00B82A13" w:rsidP="00252A31">
            <w:pPr>
              <w:ind w:left="1680" w:hanging="240"/>
              <w:jc w:val="center"/>
              <w:rPr>
                <w:rFonts w:cs="Arial"/>
                <w:sz w:val="20"/>
              </w:rPr>
            </w:pPr>
            <w:r w:rsidRPr="00140B2F">
              <w:rPr>
                <w:rFonts w:cs="Arial"/>
                <w:sz w:val="20"/>
              </w:rPr>
              <w:t>10%</w:t>
            </w:r>
          </w:p>
        </w:tc>
        <w:tc>
          <w:tcPr>
            <w:tcW w:w="2127" w:type="dxa"/>
            <w:tcBorders>
              <w:top w:val="nil"/>
              <w:left w:val="nil"/>
              <w:bottom w:val="nil"/>
              <w:right w:val="single" w:sz="4" w:space="0" w:color="auto"/>
            </w:tcBorders>
            <w:vAlign w:val="center"/>
            <w:hideMark/>
          </w:tcPr>
          <w:p w:rsidR="00334FD0" w:rsidRPr="00140B2F" w:rsidRDefault="00B82A13" w:rsidP="00252A31">
            <w:pPr>
              <w:ind w:left="1680" w:hanging="240"/>
              <w:jc w:val="center"/>
              <w:rPr>
                <w:rFonts w:cs="Arial"/>
                <w:sz w:val="20"/>
              </w:rPr>
            </w:pPr>
            <w:r w:rsidRPr="00140B2F">
              <w:rPr>
                <w:rFonts w:cs="Arial"/>
                <w:sz w:val="20"/>
              </w:rPr>
              <w:t>-</w:t>
            </w:r>
          </w:p>
        </w:tc>
      </w:tr>
      <w:tr w:rsidR="00305F3D" w:rsidTr="0042413E">
        <w:trPr>
          <w:trHeight w:val="578"/>
        </w:trPr>
        <w:tc>
          <w:tcPr>
            <w:tcW w:w="4539" w:type="dxa"/>
            <w:tcBorders>
              <w:top w:val="nil"/>
              <w:left w:val="single" w:sz="4" w:space="0" w:color="auto"/>
              <w:bottom w:val="single" w:sz="4" w:space="0" w:color="auto"/>
              <w:right w:val="nil"/>
            </w:tcBorders>
            <w:vAlign w:val="center"/>
          </w:tcPr>
          <w:p w:rsidR="00334FD0" w:rsidRPr="00140B2F" w:rsidRDefault="00B82A13" w:rsidP="0042413E">
            <w:pPr>
              <w:numPr>
                <w:ilvl w:val="0"/>
                <w:numId w:val="9"/>
              </w:numPr>
              <w:tabs>
                <w:tab w:val="clear" w:pos="360"/>
                <w:tab w:val="left" w:pos="342"/>
              </w:tabs>
              <w:autoSpaceDE/>
              <w:autoSpaceDN/>
              <w:adjustRightInd/>
              <w:spacing w:after="0"/>
              <w:rPr>
                <w:rFonts w:cs="Arial"/>
                <w:sz w:val="20"/>
              </w:rPr>
            </w:pPr>
            <w:r w:rsidRPr="00140B2F">
              <w:rPr>
                <w:sz w:val="20"/>
              </w:rPr>
              <w:t>All sub-underwriting contracts.</w:t>
            </w:r>
          </w:p>
        </w:tc>
        <w:tc>
          <w:tcPr>
            <w:tcW w:w="1986" w:type="dxa"/>
            <w:tcBorders>
              <w:top w:val="nil"/>
              <w:left w:val="single" w:sz="4" w:space="0" w:color="auto"/>
              <w:bottom w:val="single" w:sz="4" w:space="0" w:color="auto"/>
              <w:right w:val="single" w:sz="4" w:space="0" w:color="auto"/>
            </w:tcBorders>
            <w:vAlign w:val="center"/>
            <w:hideMark/>
          </w:tcPr>
          <w:p w:rsidR="00334FD0" w:rsidRPr="00140B2F" w:rsidRDefault="00B82A13" w:rsidP="00252A31">
            <w:pPr>
              <w:ind w:left="1680" w:hanging="240"/>
              <w:jc w:val="center"/>
              <w:rPr>
                <w:rFonts w:cs="Arial"/>
                <w:sz w:val="20"/>
              </w:rPr>
            </w:pPr>
            <w:r w:rsidRPr="00140B2F">
              <w:rPr>
                <w:rFonts w:cs="Arial"/>
                <w:sz w:val="20"/>
              </w:rPr>
              <w:t>15%</w:t>
            </w:r>
          </w:p>
        </w:tc>
        <w:tc>
          <w:tcPr>
            <w:tcW w:w="2127" w:type="dxa"/>
            <w:tcBorders>
              <w:top w:val="nil"/>
              <w:left w:val="nil"/>
              <w:bottom w:val="single" w:sz="4" w:space="0" w:color="auto"/>
              <w:right w:val="single" w:sz="4" w:space="0" w:color="auto"/>
            </w:tcBorders>
            <w:vAlign w:val="center"/>
            <w:hideMark/>
          </w:tcPr>
          <w:p w:rsidR="00334FD0" w:rsidRPr="00140B2F" w:rsidRDefault="00B82A13" w:rsidP="00252A31">
            <w:pPr>
              <w:ind w:left="1680" w:hanging="240"/>
              <w:jc w:val="center"/>
              <w:rPr>
                <w:rFonts w:cs="Arial"/>
                <w:sz w:val="20"/>
              </w:rPr>
            </w:pPr>
            <w:r w:rsidRPr="00140B2F">
              <w:rPr>
                <w:rFonts w:cs="Arial"/>
                <w:sz w:val="20"/>
              </w:rPr>
              <w:t>-</w:t>
            </w:r>
          </w:p>
        </w:tc>
      </w:tr>
      <w:tr w:rsidR="00305F3D" w:rsidTr="0042413E">
        <w:trPr>
          <w:trHeight w:val="893"/>
        </w:trPr>
        <w:tc>
          <w:tcPr>
            <w:tcW w:w="4539" w:type="dxa"/>
            <w:tcBorders>
              <w:top w:val="single" w:sz="4" w:space="0" w:color="auto"/>
              <w:left w:val="single" w:sz="4" w:space="0" w:color="auto"/>
              <w:bottom w:val="single" w:sz="4" w:space="0" w:color="auto"/>
              <w:right w:val="nil"/>
            </w:tcBorders>
            <w:vAlign w:val="center"/>
            <w:hideMark/>
          </w:tcPr>
          <w:p w:rsidR="00334FD0" w:rsidRPr="00140B2F" w:rsidRDefault="00B82A13" w:rsidP="0042413E">
            <w:pPr>
              <w:numPr>
                <w:ilvl w:val="0"/>
                <w:numId w:val="9"/>
              </w:numPr>
              <w:tabs>
                <w:tab w:val="clear" w:pos="360"/>
                <w:tab w:val="left" w:pos="342"/>
              </w:tabs>
              <w:autoSpaceDE/>
              <w:autoSpaceDN/>
              <w:adjustRightInd/>
              <w:spacing w:after="0"/>
              <w:rPr>
                <w:sz w:val="20"/>
              </w:rPr>
            </w:pPr>
            <w:r w:rsidRPr="00140B2F">
              <w:rPr>
                <w:sz w:val="20"/>
              </w:rPr>
              <w:t xml:space="preserve">All investments in units or other shares of the investments subject to the trusts of unit trust schemes managed by any one body. </w:t>
            </w:r>
          </w:p>
        </w:tc>
        <w:tc>
          <w:tcPr>
            <w:tcW w:w="1986" w:type="dxa"/>
            <w:tcBorders>
              <w:top w:val="single" w:sz="4" w:space="0" w:color="auto"/>
              <w:left w:val="single" w:sz="4" w:space="0" w:color="auto"/>
              <w:bottom w:val="single" w:sz="4" w:space="0" w:color="auto"/>
              <w:right w:val="single" w:sz="4" w:space="0" w:color="auto"/>
            </w:tcBorders>
            <w:vAlign w:val="center"/>
            <w:hideMark/>
          </w:tcPr>
          <w:p w:rsidR="00334FD0" w:rsidRPr="00140B2F" w:rsidRDefault="00B82A13" w:rsidP="00252A31">
            <w:pPr>
              <w:ind w:left="1680" w:hanging="240"/>
              <w:jc w:val="center"/>
              <w:rPr>
                <w:rFonts w:cs="Arial"/>
                <w:sz w:val="20"/>
              </w:rPr>
            </w:pPr>
            <w:r w:rsidRPr="00140B2F">
              <w:rPr>
                <w:rFonts w:cs="Arial"/>
                <w:sz w:val="20"/>
              </w:rPr>
              <w:t>25%</w:t>
            </w:r>
          </w:p>
        </w:tc>
        <w:tc>
          <w:tcPr>
            <w:tcW w:w="2127" w:type="dxa"/>
            <w:tcBorders>
              <w:top w:val="single" w:sz="4" w:space="0" w:color="auto"/>
              <w:left w:val="nil"/>
              <w:bottom w:val="single" w:sz="4" w:space="0" w:color="auto"/>
              <w:right w:val="single" w:sz="4" w:space="0" w:color="auto"/>
            </w:tcBorders>
            <w:vAlign w:val="center"/>
            <w:hideMark/>
          </w:tcPr>
          <w:p w:rsidR="00334FD0" w:rsidRPr="00140B2F" w:rsidRDefault="00B82A13" w:rsidP="00252A31">
            <w:pPr>
              <w:ind w:left="1680" w:hanging="240"/>
              <w:jc w:val="center"/>
              <w:rPr>
                <w:rFonts w:cs="Arial"/>
                <w:sz w:val="20"/>
              </w:rPr>
            </w:pPr>
            <w:r w:rsidRPr="00140B2F">
              <w:rPr>
                <w:rFonts w:cs="Arial"/>
                <w:sz w:val="20"/>
              </w:rPr>
              <w:t>35%</w:t>
            </w:r>
          </w:p>
        </w:tc>
      </w:tr>
      <w:tr w:rsidR="00305F3D" w:rsidTr="0042413E">
        <w:trPr>
          <w:trHeight w:val="994"/>
        </w:trPr>
        <w:tc>
          <w:tcPr>
            <w:tcW w:w="4539" w:type="dxa"/>
            <w:tcBorders>
              <w:top w:val="single" w:sz="4" w:space="0" w:color="auto"/>
              <w:left w:val="single" w:sz="4" w:space="0" w:color="auto"/>
              <w:bottom w:val="nil"/>
              <w:right w:val="nil"/>
            </w:tcBorders>
            <w:vAlign w:val="center"/>
            <w:hideMark/>
          </w:tcPr>
          <w:p w:rsidR="00334FD0" w:rsidRPr="00140B2F" w:rsidRDefault="00B82A13" w:rsidP="0042413E">
            <w:pPr>
              <w:tabs>
                <w:tab w:val="left" w:pos="284"/>
              </w:tabs>
              <w:ind w:left="342" w:hanging="342"/>
            </w:pPr>
            <w:r w:rsidRPr="00140B2F">
              <w:rPr>
                <w:rFonts w:cs="Arial"/>
                <w:b/>
                <w:sz w:val="20"/>
              </w:rPr>
              <w:t xml:space="preserve">9a. </w:t>
            </w:r>
            <w:r w:rsidRPr="00140B2F">
              <w:rPr>
                <w:sz w:val="20"/>
              </w:rPr>
              <w:t>All investments in open-ended investment companies where the collective investment schemes constituted by</w:t>
            </w:r>
            <w:r w:rsidRPr="00140B2F">
              <w:rPr>
                <w:sz w:val="20"/>
              </w:rPr>
              <w:t xml:space="preserve"> the companies are managed by any one body.</w:t>
            </w:r>
          </w:p>
        </w:tc>
        <w:tc>
          <w:tcPr>
            <w:tcW w:w="1986" w:type="dxa"/>
            <w:tcBorders>
              <w:top w:val="single" w:sz="4" w:space="0" w:color="auto"/>
              <w:left w:val="single" w:sz="4" w:space="0" w:color="auto"/>
              <w:bottom w:val="nil"/>
              <w:right w:val="single" w:sz="4" w:space="0" w:color="auto"/>
            </w:tcBorders>
            <w:vAlign w:val="center"/>
            <w:hideMark/>
          </w:tcPr>
          <w:p w:rsidR="00334FD0" w:rsidRPr="00140B2F" w:rsidRDefault="00B82A13" w:rsidP="00252A31">
            <w:pPr>
              <w:ind w:left="1680" w:hanging="240"/>
              <w:jc w:val="center"/>
              <w:rPr>
                <w:rFonts w:cs="Arial"/>
                <w:sz w:val="20"/>
              </w:rPr>
            </w:pPr>
            <w:r w:rsidRPr="00140B2F">
              <w:rPr>
                <w:rFonts w:cs="Arial"/>
                <w:sz w:val="20"/>
              </w:rPr>
              <w:t>25%</w:t>
            </w:r>
          </w:p>
        </w:tc>
        <w:tc>
          <w:tcPr>
            <w:tcW w:w="2127" w:type="dxa"/>
            <w:tcBorders>
              <w:top w:val="single" w:sz="4" w:space="0" w:color="auto"/>
              <w:left w:val="nil"/>
              <w:bottom w:val="nil"/>
              <w:right w:val="single" w:sz="4" w:space="0" w:color="auto"/>
            </w:tcBorders>
            <w:vAlign w:val="center"/>
            <w:hideMark/>
          </w:tcPr>
          <w:p w:rsidR="00334FD0" w:rsidRPr="00140B2F" w:rsidRDefault="00B82A13" w:rsidP="00252A31">
            <w:pPr>
              <w:ind w:left="1680" w:hanging="240"/>
              <w:jc w:val="center"/>
              <w:rPr>
                <w:rFonts w:cs="Arial"/>
                <w:sz w:val="20"/>
              </w:rPr>
            </w:pPr>
            <w:r w:rsidRPr="00140B2F">
              <w:rPr>
                <w:rFonts w:cs="Arial"/>
                <w:sz w:val="20"/>
              </w:rPr>
              <w:t>35%</w:t>
            </w:r>
          </w:p>
        </w:tc>
      </w:tr>
      <w:tr w:rsidR="00305F3D" w:rsidTr="0042413E">
        <w:trPr>
          <w:trHeight w:val="1685"/>
        </w:trPr>
        <w:tc>
          <w:tcPr>
            <w:tcW w:w="4539" w:type="dxa"/>
            <w:tcBorders>
              <w:top w:val="nil"/>
              <w:left w:val="single" w:sz="4" w:space="0" w:color="auto"/>
              <w:bottom w:val="nil"/>
              <w:right w:val="nil"/>
            </w:tcBorders>
            <w:vAlign w:val="center"/>
            <w:hideMark/>
          </w:tcPr>
          <w:p w:rsidR="00334FD0" w:rsidRPr="00140B2F" w:rsidRDefault="00B82A13" w:rsidP="0042413E">
            <w:pPr>
              <w:tabs>
                <w:tab w:val="left" w:pos="342"/>
              </w:tabs>
              <w:ind w:left="342" w:hanging="342"/>
              <w:rPr>
                <w:sz w:val="20"/>
              </w:rPr>
            </w:pPr>
            <w:r w:rsidRPr="00140B2F">
              <w:rPr>
                <w:rFonts w:cs="Arial"/>
                <w:b/>
                <w:sz w:val="20"/>
              </w:rPr>
              <w:t>9b.</w:t>
            </w:r>
            <w:r w:rsidRPr="00140B2F">
              <w:rPr>
                <w:rFonts w:cs="Arial"/>
                <w:b/>
                <w:sz w:val="20"/>
              </w:rPr>
              <w:tab/>
            </w:r>
            <w:r w:rsidRPr="00140B2F">
              <w:rPr>
                <w:sz w:val="20"/>
              </w:rPr>
              <w:t>All investments in units or other shares of the investments subject to the trusts of unit trust schemes and all investments in open-ended investment companies where the unit trust schemes and the collective investment schemes constituted by those companies</w:t>
            </w:r>
            <w:r w:rsidRPr="00140B2F">
              <w:rPr>
                <w:sz w:val="20"/>
              </w:rPr>
              <w:t xml:space="preserve"> are managed by any one body </w:t>
            </w:r>
          </w:p>
        </w:tc>
        <w:tc>
          <w:tcPr>
            <w:tcW w:w="1986" w:type="dxa"/>
            <w:tcBorders>
              <w:top w:val="nil"/>
              <w:left w:val="single" w:sz="4" w:space="0" w:color="auto"/>
              <w:bottom w:val="nil"/>
              <w:right w:val="single" w:sz="4" w:space="0" w:color="auto"/>
            </w:tcBorders>
            <w:vAlign w:val="center"/>
            <w:hideMark/>
          </w:tcPr>
          <w:p w:rsidR="00334FD0" w:rsidRPr="00140B2F" w:rsidRDefault="00B82A13" w:rsidP="00252A31">
            <w:pPr>
              <w:ind w:left="1680" w:hanging="240"/>
              <w:jc w:val="center"/>
              <w:rPr>
                <w:rFonts w:cs="Arial"/>
                <w:sz w:val="20"/>
              </w:rPr>
            </w:pPr>
            <w:r w:rsidRPr="00140B2F">
              <w:rPr>
                <w:rFonts w:cs="Arial"/>
                <w:sz w:val="20"/>
              </w:rPr>
              <w:t>25%</w:t>
            </w:r>
          </w:p>
        </w:tc>
        <w:tc>
          <w:tcPr>
            <w:tcW w:w="2127" w:type="dxa"/>
            <w:tcBorders>
              <w:top w:val="nil"/>
              <w:left w:val="nil"/>
              <w:bottom w:val="nil"/>
              <w:right w:val="single" w:sz="4" w:space="0" w:color="auto"/>
            </w:tcBorders>
            <w:vAlign w:val="center"/>
            <w:hideMark/>
          </w:tcPr>
          <w:p w:rsidR="00334FD0" w:rsidRPr="00140B2F" w:rsidRDefault="00B82A13" w:rsidP="00252A31">
            <w:pPr>
              <w:ind w:left="1680" w:hanging="240"/>
              <w:jc w:val="center"/>
              <w:rPr>
                <w:rFonts w:cs="Arial"/>
                <w:sz w:val="20"/>
              </w:rPr>
            </w:pPr>
            <w:r w:rsidRPr="00140B2F">
              <w:rPr>
                <w:rFonts w:cs="Arial"/>
                <w:sz w:val="20"/>
              </w:rPr>
              <w:t>35%</w:t>
            </w:r>
          </w:p>
        </w:tc>
      </w:tr>
      <w:tr w:rsidR="00305F3D" w:rsidTr="0042413E">
        <w:trPr>
          <w:trHeight w:val="291"/>
        </w:trPr>
        <w:tc>
          <w:tcPr>
            <w:tcW w:w="4539" w:type="dxa"/>
            <w:tcBorders>
              <w:top w:val="nil"/>
              <w:left w:val="single" w:sz="4" w:space="0" w:color="auto"/>
              <w:bottom w:val="nil"/>
              <w:right w:val="nil"/>
            </w:tcBorders>
            <w:vAlign w:val="center"/>
            <w:hideMark/>
          </w:tcPr>
          <w:p w:rsidR="00334FD0" w:rsidRPr="00140B2F" w:rsidRDefault="00B82A13" w:rsidP="0042413E">
            <w:pPr>
              <w:numPr>
                <w:ilvl w:val="0"/>
                <w:numId w:val="9"/>
              </w:numPr>
              <w:tabs>
                <w:tab w:val="clear" w:pos="360"/>
                <w:tab w:val="left" w:pos="342"/>
              </w:tabs>
              <w:autoSpaceDE/>
              <w:autoSpaceDN/>
              <w:adjustRightInd/>
              <w:spacing w:after="0"/>
              <w:rPr>
                <w:sz w:val="20"/>
              </w:rPr>
            </w:pPr>
            <w:r w:rsidRPr="00140B2F">
              <w:rPr>
                <w:sz w:val="20"/>
              </w:rPr>
              <w:t>Any single insurance contract.</w:t>
            </w:r>
          </w:p>
        </w:tc>
        <w:tc>
          <w:tcPr>
            <w:tcW w:w="1986" w:type="dxa"/>
            <w:tcBorders>
              <w:top w:val="nil"/>
              <w:left w:val="single" w:sz="4" w:space="0" w:color="auto"/>
              <w:bottom w:val="nil"/>
              <w:right w:val="single" w:sz="4" w:space="0" w:color="auto"/>
            </w:tcBorders>
            <w:vAlign w:val="center"/>
            <w:hideMark/>
          </w:tcPr>
          <w:p w:rsidR="00334FD0" w:rsidRPr="00140B2F" w:rsidRDefault="00B82A13" w:rsidP="00252A31">
            <w:pPr>
              <w:ind w:left="1680" w:hanging="240"/>
              <w:jc w:val="center"/>
              <w:rPr>
                <w:rFonts w:cs="Arial"/>
                <w:sz w:val="20"/>
              </w:rPr>
            </w:pPr>
            <w:r w:rsidRPr="00140B2F">
              <w:rPr>
                <w:rFonts w:cs="Arial"/>
                <w:sz w:val="20"/>
              </w:rPr>
              <w:t>25%</w:t>
            </w:r>
          </w:p>
        </w:tc>
        <w:tc>
          <w:tcPr>
            <w:tcW w:w="2127" w:type="dxa"/>
            <w:tcBorders>
              <w:top w:val="nil"/>
              <w:left w:val="nil"/>
              <w:bottom w:val="nil"/>
              <w:right w:val="single" w:sz="4" w:space="0" w:color="auto"/>
            </w:tcBorders>
            <w:vAlign w:val="center"/>
            <w:hideMark/>
          </w:tcPr>
          <w:p w:rsidR="00334FD0" w:rsidRPr="00140B2F" w:rsidRDefault="00B82A13" w:rsidP="00252A31">
            <w:pPr>
              <w:ind w:left="1680" w:hanging="240"/>
              <w:jc w:val="center"/>
              <w:rPr>
                <w:rFonts w:cs="Arial"/>
                <w:sz w:val="20"/>
              </w:rPr>
            </w:pPr>
            <w:r w:rsidRPr="00140B2F">
              <w:rPr>
                <w:rFonts w:cs="Arial"/>
                <w:sz w:val="20"/>
              </w:rPr>
              <w:t>35%</w:t>
            </w:r>
          </w:p>
        </w:tc>
      </w:tr>
      <w:tr w:rsidR="00305F3D" w:rsidTr="0042413E">
        <w:trPr>
          <w:trHeight w:val="848"/>
        </w:trPr>
        <w:tc>
          <w:tcPr>
            <w:tcW w:w="4539" w:type="dxa"/>
            <w:tcBorders>
              <w:top w:val="nil"/>
              <w:left w:val="single" w:sz="4" w:space="0" w:color="auto"/>
              <w:bottom w:val="single" w:sz="4" w:space="0" w:color="auto"/>
              <w:right w:val="nil"/>
            </w:tcBorders>
            <w:vAlign w:val="center"/>
            <w:hideMark/>
          </w:tcPr>
          <w:p w:rsidR="00334FD0" w:rsidRPr="00140B2F" w:rsidRDefault="00B82A13" w:rsidP="0042413E">
            <w:pPr>
              <w:numPr>
                <w:ilvl w:val="0"/>
                <w:numId w:val="9"/>
              </w:numPr>
              <w:tabs>
                <w:tab w:val="clear" w:pos="360"/>
                <w:tab w:val="left" w:pos="342"/>
              </w:tabs>
              <w:autoSpaceDE/>
              <w:autoSpaceDN/>
              <w:adjustRightInd/>
              <w:spacing w:after="0"/>
              <w:rPr>
                <w:sz w:val="20"/>
              </w:rPr>
            </w:pPr>
            <w:r w:rsidRPr="00140B2F">
              <w:rPr>
                <w:sz w:val="20"/>
              </w:rPr>
              <w:t>All securities transferred under stock lending arrangements.</w:t>
            </w:r>
          </w:p>
        </w:tc>
        <w:tc>
          <w:tcPr>
            <w:tcW w:w="1986" w:type="dxa"/>
            <w:tcBorders>
              <w:top w:val="nil"/>
              <w:left w:val="single" w:sz="4" w:space="0" w:color="auto"/>
              <w:bottom w:val="single" w:sz="4" w:space="0" w:color="auto"/>
              <w:right w:val="single" w:sz="4" w:space="0" w:color="auto"/>
            </w:tcBorders>
            <w:vAlign w:val="center"/>
            <w:hideMark/>
          </w:tcPr>
          <w:p w:rsidR="00334FD0" w:rsidRPr="00140B2F" w:rsidRDefault="00B82A13" w:rsidP="00252A31">
            <w:pPr>
              <w:ind w:left="1680" w:hanging="240"/>
              <w:jc w:val="center"/>
              <w:rPr>
                <w:rFonts w:cs="Arial"/>
                <w:sz w:val="20"/>
              </w:rPr>
            </w:pPr>
            <w:r w:rsidRPr="00140B2F">
              <w:rPr>
                <w:rFonts w:cs="Arial"/>
                <w:sz w:val="20"/>
              </w:rPr>
              <w:t>25%</w:t>
            </w:r>
          </w:p>
        </w:tc>
        <w:tc>
          <w:tcPr>
            <w:tcW w:w="2127" w:type="dxa"/>
            <w:tcBorders>
              <w:top w:val="nil"/>
              <w:left w:val="nil"/>
              <w:bottom w:val="single" w:sz="4" w:space="0" w:color="auto"/>
              <w:right w:val="single" w:sz="4" w:space="0" w:color="auto"/>
            </w:tcBorders>
            <w:vAlign w:val="center"/>
            <w:hideMark/>
          </w:tcPr>
          <w:p w:rsidR="00334FD0" w:rsidRPr="00140B2F" w:rsidRDefault="00B82A13" w:rsidP="00252A31">
            <w:pPr>
              <w:ind w:left="1680" w:hanging="240"/>
              <w:jc w:val="center"/>
              <w:rPr>
                <w:sz w:val="20"/>
              </w:rPr>
            </w:pPr>
            <w:r w:rsidRPr="00140B2F">
              <w:rPr>
                <w:rFonts w:cs="Arial"/>
                <w:sz w:val="20"/>
              </w:rPr>
              <w:t>35%</w:t>
            </w:r>
          </w:p>
        </w:tc>
      </w:tr>
    </w:tbl>
    <w:p w:rsidR="00334FD0" w:rsidRPr="00140B2F" w:rsidRDefault="00B82A13" w:rsidP="0042413E">
      <w:pPr>
        <w:rPr>
          <w:rFonts w:cs="Arial"/>
        </w:rPr>
      </w:pPr>
    </w:p>
    <w:p w:rsidR="00334FD0" w:rsidRPr="00140B2F" w:rsidRDefault="00B82A13" w:rsidP="0042413E">
      <w:pPr>
        <w:rPr>
          <w:rFonts w:cs="Arial"/>
          <w:b/>
        </w:rPr>
      </w:pPr>
      <w:r w:rsidRPr="00140B2F">
        <w:rPr>
          <w:rFonts w:cs="Arial"/>
          <w:b/>
        </w:rPr>
        <w:t>Stock Lending</w:t>
      </w:r>
    </w:p>
    <w:p w:rsidR="00334FD0" w:rsidRPr="00140B2F" w:rsidRDefault="00B82A13" w:rsidP="00EC5E99">
      <w:pPr>
        <w:spacing w:after="240"/>
        <w:rPr>
          <w:rFonts w:cs="Arial"/>
        </w:rPr>
      </w:pPr>
      <w:r w:rsidRPr="00140B2F">
        <w:rPr>
          <w:rFonts w:cs="Arial"/>
        </w:rPr>
        <w:t xml:space="preserve">Stock lending is undertaken up to the 35% limit above. The programme is run by the Fund's </w:t>
      </w:r>
      <w:r w:rsidRPr="00140B2F">
        <w:rPr>
          <w:rFonts w:cs="Arial"/>
        </w:rPr>
        <w:t>Custodian, which monitors performance, limit and counterparty credit adherence, and voting requirements.</w:t>
      </w:r>
    </w:p>
    <w:p w:rsidR="00334FD0" w:rsidRPr="00140B2F" w:rsidRDefault="00B82A13" w:rsidP="0042413E">
      <w:pPr>
        <w:pStyle w:val="Heading4"/>
        <w:jc w:val="both"/>
        <w:rPr>
          <w:sz w:val="24"/>
          <w:szCs w:val="24"/>
        </w:rPr>
      </w:pPr>
      <w:r w:rsidRPr="00140B2F">
        <w:rPr>
          <w:sz w:val="24"/>
          <w:szCs w:val="24"/>
        </w:rPr>
        <w:t>Policy on Risk</w:t>
      </w:r>
    </w:p>
    <w:p w:rsidR="00590C40" w:rsidRPr="00140B2F" w:rsidRDefault="00B82A13" w:rsidP="006A42DB">
      <w:pPr>
        <w:spacing w:before="120" w:after="240"/>
        <w:rPr>
          <w:rFonts w:cs="Arial"/>
          <w:b/>
          <w:color w:val="FF0000"/>
        </w:rPr>
      </w:pPr>
      <w:r w:rsidRPr="00140B2F">
        <w:rPr>
          <w:rFonts w:cs="Arial"/>
          <w:color w:val="auto"/>
        </w:rPr>
        <w:t>The consideration of investment risk forms part of the Pension Fund's overall risk register, which is presented to Pension Fund Committe</w:t>
      </w:r>
      <w:r w:rsidRPr="00140B2F">
        <w:rPr>
          <w:rFonts w:cs="Arial"/>
          <w:color w:val="auto"/>
        </w:rPr>
        <w:t>e on a bi-annual basis. The key risks and associated mitigations are replicated in the Funding Strategy Statement.</w:t>
      </w:r>
    </w:p>
    <w:p w:rsidR="00A60FFC" w:rsidRPr="00140B2F" w:rsidRDefault="00B82A13" w:rsidP="00A60FFC">
      <w:pPr>
        <w:spacing w:after="0"/>
      </w:pPr>
      <w:r w:rsidRPr="00140B2F">
        <w:t>The first line of defence is diversification. As described in the section on Asset Allocation, the scheme will seek to maintain a diversified</w:t>
      </w:r>
      <w:r w:rsidRPr="00140B2F">
        <w:t xml:space="preserve"> exposure to several different asset classes, geographies, and currencies. The </w:t>
      </w:r>
      <w:r w:rsidRPr="00140B2F">
        <w:t xml:space="preserve">Pension Fund Committee </w:t>
      </w:r>
      <w:r w:rsidRPr="00140B2F">
        <w:t>expect this to provide (at least) two levels of protection: first, in periods of market turmoil some assets will preserve capital better than others, allo</w:t>
      </w:r>
      <w:r w:rsidRPr="00140B2F">
        <w:t xml:space="preserve">wing the portfolio to better withstand a shock. Second, in periods of rising markets, some assets will do better than others, and since we don’t know with absolute certainty which ones will do best, it is better to diversify. </w:t>
      </w:r>
    </w:p>
    <w:p w:rsidR="00A60FFC" w:rsidRPr="00140B2F" w:rsidRDefault="00B82A13" w:rsidP="00A60FFC">
      <w:pPr>
        <w:spacing w:after="0"/>
      </w:pPr>
    </w:p>
    <w:p w:rsidR="00A60FFC" w:rsidRPr="000529FA" w:rsidRDefault="00B82A13" w:rsidP="00A60FFC">
      <w:pPr>
        <w:spacing w:after="0"/>
      </w:pPr>
      <w:r w:rsidRPr="000529FA">
        <w:t>The second line of defence a</w:t>
      </w:r>
      <w:r w:rsidRPr="000529FA">
        <w:t>t the scheme level is to examine how the portfolio would perform under different scenarios including stress scenarios. The objective is to ensure that the losses that the portfolio endures will not cause future contributions to increase.</w:t>
      </w:r>
    </w:p>
    <w:p w:rsidR="00A60FFC" w:rsidRPr="000529FA" w:rsidRDefault="00B82A13" w:rsidP="00A60FFC">
      <w:pPr>
        <w:spacing w:after="0"/>
      </w:pPr>
    </w:p>
    <w:p w:rsidR="00A60FFC" w:rsidRDefault="00B82A13" w:rsidP="00A60FFC">
      <w:pPr>
        <w:spacing w:after="0"/>
      </w:pPr>
      <w:r w:rsidRPr="000529FA">
        <w:t>The asset class p</w:t>
      </w:r>
      <w:r w:rsidRPr="000529FA">
        <w:t>ools described in section 7 are also subject to a number of constraints to allow for intra-asset class diversification, including sector, country, manager, and maximum exposure to a single asset. When appropriate, the pools will use value at risk or volati</w:t>
      </w:r>
      <w:r w:rsidRPr="000529FA">
        <w:t>lity measures to monitor specific investments.</w:t>
      </w:r>
    </w:p>
    <w:p w:rsidR="00A60FFC" w:rsidRDefault="00B82A13" w:rsidP="00A60FFC">
      <w:pPr>
        <w:spacing w:after="0"/>
      </w:pPr>
    </w:p>
    <w:p w:rsidR="00334FD0" w:rsidRPr="00140B2F" w:rsidRDefault="00B82A13" w:rsidP="006A42DB">
      <w:pPr>
        <w:spacing w:before="120" w:after="240"/>
        <w:rPr>
          <w:rFonts w:cs="Arial"/>
        </w:rPr>
      </w:pPr>
      <w:r w:rsidRPr="00140B2F">
        <w:rPr>
          <w:rFonts w:cs="Arial"/>
        </w:rPr>
        <w:t xml:space="preserve">Operational risk is minimised by having custody of the Fund's financial assets provided by a regulated, external, third party, professional custodian. </w:t>
      </w:r>
    </w:p>
    <w:p w:rsidR="00334FD0" w:rsidRPr="00140B2F" w:rsidRDefault="00B82A13" w:rsidP="006A42DB">
      <w:pPr>
        <w:spacing w:before="120" w:after="240"/>
        <w:rPr>
          <w:rFonts w:cs="Arial"/>
        </w:rPr>
      </w:pPr>
      <w:r w:rsidRPr="00140B2F">
        <w:rPr>
          <w:rFonts w:cs="Arial"/>
        </w:rPr>
        <w:t xml:space="preserve">The Fund’s Global Custodian is Northern Trust.  All </w:t>
      </w:r>
      <w:r w:rsidRPr="00140B2F">
        <w:rPr>
          <w:rFonts w:cs="Arial"/>
        </w:rPr>
        <w:t>public market investments are held in nominee accounts of Northern Trust.</w:t>
      </w:r>
    </w:p>
    <w:p w:rsidR="00E84ECE" w:rsidRPr="00140B2F" w:rsidRDefault="00B82A13" w:rsidP="006A42DB">
      <w:pPr>
        <w:spacing w:before="120" w:after="240"/>
        <w:rPr>
          <w:rFonts w:cs="Arial"/>
        </w:rPr>
      </w:pPr>
      <w:r w:rsidRPr="00140B2F">
        <w:rPr>
          <w:rFonts w:cs="Arial"/>
        </w:rPr>
        <w:t>All private market investments, including interests in private equity, property and other pooled funds are held directly in the name of Lancashire County Council as administering aut</w:t>
      </w:r>
      <w:r w:rsidRPr="00140B2F">
        <w:rPr>
          <w:rFonts w:cs="Arial"/>
        </w:rPr>
        <w:t>hority of the Lancashire County Pension Fund.  Northern Trust provides detailed investment accounting and reconciliation services for all private market investments.</w:t>
      </w:r>
    </w:p>
    <w:p w:rsidR="000811A1" w:rsidRPr="00140B2F" w:rsidRDefault="00B82A13" w:rsidP="006A42DB">
      <w:pPr>
        <w:spacing w:before="120"/>
        <w:rPr>
          <w:rFonts w:cs="Arial"/>
          <w:bCs/>
        </w:rPr>
      </w:pPr>
      <w:r w:rsidRPr="00140B2F">
        <w:rPr>
          <w:rFonts w:cs="Arial"/>
          <w:bCs/>
        </w:rPr>
        <w:t>The title deeds in respect of the Fund’s property holdings are held by Lancashire County C</w:t>
      </w:r>
      <w:r w:rsidRPr="00140B2F">
        <w:rPr>
          <w:rFonts w:cs="Arial"/>
          <w:bCs/>
        </w:rPr>
        <w:t>ouncil and its property solicitors</w:t>
      </w:r>
      <w:r w:rsidRPr="00140B2F">
        <w:rPr>
          <w:rFonts w:cs="Arial"/>
          <w:bCs/>
        </w:rPr>
        <w:t>.</w:t>
      </w:r>
    </w:p>
    <w:p w:rsidR="00334FD0" w:rsidRPr="00140B2F" w:rsidRDefault="00B82A13" w:rsidP="0042413E">
      <w:pPr>
        <w:pStyle w:val="Heading4"/>
        <w:jc w:val="both"/>
        <w:rPr>
          <w:sz w:val="24"/>
          <w:szCs w:val="24"/>
        </w:rPr>
      </w:pPr>
      <w:r w:rsidRPr="00140B2F">
        <w:rPr>
          <w:sz w:val="24"/>
          <w:szCs w:val="24"/>
        </w:rPr>
        <w:t>The expected return on investments</w:t>
      </w:r>
    </w:p>
    <w:p w:rsidR="00334FD0" w:rsidRPr="00140B2F" w:rsidRDefault="00B82A13" w:rsidP="0042413E">
      <w:pPr>
        <w:rPr>
          <w:rFonts w:cs="Arial"/>
          <w:snapToGrid w:val="0"/>
        </w:rPr>
      </w:pPr>
      <w:r w:rsidRPr="00140B2F">
        <w:rPr>
          <w:rFonts w:cs="Arial"/>
          <w:snapToGrid w:val="0"/>
        </w:rPr>
        <w:t xml:space="preserve">Each </w:t>
      </w:r>
      <w:r w:rsidRPr="00140B2F">
        <w:rPr>
          <w:rFonts w:cs="Arial"/>
          <w:snapToGrid w:val="0"/>
        </w:rPr>
        <w:t xml:space="preserve">LPP I asset class pool </w:t>
      </w:r>
      <w:r w:rsidRPr="00140B2F">
        <w:rPr>
          <w:rFonts w:cs="Arial"/>
          <w:snapToGrid w:val="0"/>
        </w:rPr>
        <w:t xml:space="preserve">is expected to achieve an excess return on the assets under their management greater than the relevant benchmark. In assessing performance of each </w:t>
      </w:r>
      <w:r w:rsidRPr="00140B2F">
        <w:rPr>
          <w:rFonts w:cs="Arial"/>
          <w:snapToGrid w:val="0"/>
        </w:rPr>
        <w:t>LPP I pool</w:t>
      </w:r>
      <w:r w:rsidRPr="00140B2F">
        <w:rPr>
          <w:rFonts w:cs="Arial"/>
          <w:snapToGrid w:val="0"/>
        </w:rPr>
        <w:t xml:space="preserve"> </w:t>
      </w:r>
      <w:r w:rsidRPr="00140B2F">
        <w:rPr>
          <w:rFonts w:cs="Arial"/>
          <w:snapToGrid w:val="0"/>
        </w:rPr>
        <w:t xml:space="preserve">the Investment Panel takes in to account the long-term nature of the investment process and returns are judged primarily on an annualised basis over a </w:t>
      </w:r>
      <w:r w:rsidRPr="00140B2F">
        <w:rPr>
          <w:rFonts w:cs="Arial"/>
          <w:snapToGrid w:val="0"/>
        </w:rPr>
        <w:t>full market cycle of seven years</w:t>
      </w:r>
      <w:r w:rsidRPr="00140B2F">
        <w:rPr>
          <w:rFonts w:cs="Arial"/>
          <w:snapToGrid w:val="0"/>
        </w:rPr>
        <w:t>. The targets and benchmarks in place are as follows:</w:t>
      </w:r>
    </w:p>
    <w:p w:rsidR="0036739F" w:rsidRDefault="00B82A13" w:rsidP="0042413E">
      <w:pPr>
        <w:rPr>
          <w:rFonts w:cs="Arial"/>
          <w:snapToGrid w:val="0"/>
          <w:highlight w:val="green"/>
        </w:rPr>
      </w:pPr>
    </w:p>
    <w:p w:rsidR="0036739F" w:rsidRPr="00127D40" w:rsidRDefault="00B82A13" w:rsidP="00127D40">
      <w:pPr>
        <w:jc w:val="center"/>
        <w:rPr>
          <w:rFonts w:cs="Arial"/>
          <w:snapToGrid w:val="0"/>
          <w:highlight w:val="green"/>
        </w:rPr>
      </w:pPr>
      <w:r w:rsidRPr="0036739F">
        <w:rPr>
          <w:noProof/>
          <w:lang w:eastAsia="en-GB"/>
        </w:rPr>
        <w:drawing>
          <wp:inline distT="0" distB="0" distL="0" distR="0">
            <wp:extent cx="5257800" cy="3438525"/>
            <wp:effectExtent l="0" t="0" r="0" b="9525"/>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257800" cy="3438525"/>
                    </a:xfrm>
                    <a:prstGeom prst="rect">
                      <a:avLst/>
                    </a:prstGeom>
                    <a:noFill/>
                    <a:ln>
                      <a:noFill/>
                    </a:ln>
                  </pic:spPr>
                </pic:pic>
              </a:graphicData>
            </a:graphic>
          </wp:inline>
        </w:drawing>
      </w:r>
    </w:p>
    <w:p w:rsidR="00334FD0" w:rsidRPr="00127D40" w:rsidRDefault="00B82A13" w:rsidP="0042413E">
      <w:pPr>
        <w:ind w:left="360"/>
        <w:rPr>
          <w:highlight w:val="green"/>
        </w:rPr>
      </w:pPr>
    </w:p>
    <w:p w:rsidR="00334FD0" w:rsidRPr="00140B2F" w:rsidRDefault="00B82A13" w:rsidP="00AC487B">
      <w:pPr>
        <w:pStyle w:val="Heading4"/>
        <w:spacing w:after="240"/>
        <w:ind w:left="357" w:hanging="357"/>
        <w:jc w:val="both"/>
        <w:rPr>
          <w:sz w:val="24"/>
          <w:szCs w:val="24"/>
        </w:rPr>
      </w:pPr>
      <w:r w:rsidRPr="00140B2F">
        <w:rPr>
          <w:sz w:val="24"/>
          <w:szCs w:val="24"/>
        </w:rPr>
        <w:t>Monitoring and</w:t>
      </w:r>
      <w:r w:rsidRPr="00140B2F">
        <w:rPr>
          <w:sz w:val="24"/>
          <w:szCs w:val="24"/>
        </w:rPr>
        <w:t xml:space="preserve"> Review</w:t>
      </w:r>
    </w:p>
    <w:p w:rsidR="00334FD0" w:rsidRPr="00140B2F" w:rsidRDefault="00B82A13" w:rsidP="00AC487B">
      <w:pPr>
        <w:spacing w:after="240"/>
        <w:rPr>
          <w:rFonts w:cs="Arial"/>
        </w:rPr>
      </w:pPr>
      <w:r w:rsidRPr="00140B2F">
        <w:rPr>
          <w:rFonts w:cs="Arial"/>
        </w:rPr>
        <w:t xml:space="preserve">The investment activities of </w:t>
      </w:r>
      <w:r w:rsidRPr="00140B2F">
        <w:rPr>
          <w:rFonts w:cs="Arial"/>
        </w:rPr>
        <w:t>LPP I</w:t>
      </w:r>
      <w:r w:rsidRPr="00140B2F">
        <w:rPr>
          <w:rFonts w:cs="Arial"/>
        </w:rPr>
        <w:t xml:space="preserve"> are reviewed at each </w:t>
      </w:r>
      <w:r w:rsidRPr="00140B2F">
        <w:rPr>
          <w:rFonts w:cs="Arial"/>
        </w:rPr>
        <w:t xml:space="preserve">Investment </w:t>
      </w:r>
      <w:r w:rsidRPr="00140B2F">
        <w:rPr>
          <w:rFonts w:cs="Arial"/>
        </w:rPr>
        <w:t xml:space="preserve">Panel meeting and reported on to the Pension Fund Committee.  At these meetings, asset allocation and investment performance of </w:t>
      </w:r>
      <w:r w:rsidRPr="00140B2F">
        <w:rPr>
          <w:rFonts w:cs="Arial"/>
        </w:rPr>
        <w:t>LPP I</w:t>
      </w:r>
      <w:r w:rsidRPr="00140B2F">
        <w:rPr>
          <w:rFonts w:cs="Arial"/>
        </w:rPr>
        <w:t xml:space="preserve"> is reviewed.</w:t>
      </w:r>
    </w:p>
    <w:p w:rsidR="00334FD0" w:rsidRPr="00140B2F" w:rsidRDefault="00B82A13" w:rsidP="00127D40">
      <w:pPr>
        <w:spacing w:after="240"/>
      </w:pPr>
      <w:r w:rsidRPr="00140B2F">
        <w:rPr>
          <w:rFonts w:cs="Arial"/>
        </w:rPr>
        <w:t>The Fund’s Actuary carries out a t</w:t>
      </w:r>
      <w:r w:rsidRPr="00140B2F">
        <w:rPr>
          <w:rFonts w:cs="Arial"/>
        </w:rPr>
        <w:t>riennial review of the Fund and sets the employers’ contribution rates for each three year period.  Details of investment strategy and activity are an important element of the actuarial review.</w:t>
      </w:r>
    </w:p>
    <w:p w:rsidR="00334FD0" w:rsidRPr="00140B2F" w:rsidRDefault="00B82A13" w:rsidP="0042413E">
      <w:pPr>
        <w:ind w:right="-180"/>
      </w:pPr>
      <w:r w:rsidRPr="00140B2F">
        <w:rPr>
          <w:rFonts w:cs="Arial"/>
        </w:rPr>
        <w:t xml:space="preserve">The Annual Report is produced by the </w:t>
      </w:r>
      <w:r w:rsidRPr="00140B2F">
        <w:rPr>
          <w:rFonts w:cs="Arial"/>
        </w:rPr>
        <w:t>S151 Officer</w:t>
      </w:r>
      <w:r w:rsidRPr="00140B2F">
        <w:rPr>
          <w:rFonts w:cs="Arial"/>
        </w:rPr>
        <w:t xml:space="preserve"> for all employing bodies within the Fund, and this report, together with various information bulletins produced in respect of the Pension Scheme, provides details of Investment Policy and performance relating to the Investment Managers.  Extracts from the</w:t>
      </w:r>
      <w:r w:rsidRPr="00140B2F">
        <w:rPr>
          <w:rFonts w:cs="Arial"/>
        </w:rPr>
        <w:t xml:space="preserve"> Report are circulated to all members with the Fund’s newsletter and are posted on the Fund’s web site (www.yourpensionservice.org.uk).</w:t>
      </w:r>
    </w:p>
    <w:p w:rsidR="00334FD0" w:rsidRPr="00127D40" w:rsidRDefault="00B82A13" w:rsidP="0042413E">
      <w:pPr>
        <w:rPr>
          <w:rFonts w:cs="Arial"/>
          <w:highlight w:val="green"/>
        </w:rPr>
      </w:pPr>
    </w:p>
    <w:p w:rsidR="00334FD0" w:rsidRPr="00140B2F" w:rsidRDefault="00B82A13" w:rsidP="00AC487B">
      <w:pPr>
        <w:pStyle w:val="Heading4"/>
        <w:spacing w:after="240"/>
        <w:ind w:left="357" w:hanging="357"/>
        <w:jc w:val="both"/>
        <w:rPr>
          <w:sz w:val="24"/>
          <w:szCs w:val="24"/>
        </w:rPr>
      </w:pPr>
      <w:r w:rsidRPr="00140B2F">
        <w:rPr>
          <w:sz w:val="24"/>
          <w:szCs w:val="24"/>
        </w:rPr>
        <w:t>Policy on Realisation of Investments</w:t>
      </w:r>
    </w:p>
    <w:p w:rsidR="00334FD0" w:rsidRPr="00140B2F" w:rsidRDefault="00B82A13" w:rsidP="0042413E">
      <w:pPr>
        <w:rPr>
          <w:rFonts w:cs="Arial"/>
        </w:rPr>
      </w:pPr>
      <w:r w:rsidRPr="00140B2F">
        <w:rPr>
          <w:rFonts w:cs="Arial"/>
        </w:rPr>
        <w:t>As the Fund is cash flow positive after including investment income, there is no n</w:t>
      </w:r>
      <w:r w:rsidRPr="00140B2F">
        <w:rPr>
          <w:rFonts w:cs="Arial"/>
        </w:rPr>
        <w:t>eed to realise investments in order to pay for benefits.</w:t>
      </w:r>
    </w:p>
    <w:p w:rsidR="00334FD0" w:rsidRPr="00127D40" w:rsidRDefault="00B82A13" w:rsidP="00AC487B">
      <w:pPr>
        <w:spacing w:after="240"/>
        <w:rPr>
          <w:rFonts w:cs="Arial"/>
          <w:highlight w:val="green"/>
        </w:rPr>
      </w:pPr>
      <w:r w:rsidRPr="00140B2F">
        <w:rPr>
          <w:rFonts w:cs="Arial"/>
        </w:rPr>
        <w:t xml:space="preserve">LPP I </w:t>
      </w:r>
      <w:r w:rsidRPr="00140B2F">
        <w:rPr>
          <w:rFonts w:cs="Arial"/>
        </w:rPr>
        <w:t xml:space="preserve">will </w:t>
      </w:r>
      <w:r w:rsidRPr="00140B2F">
        <w:rPr>
          <w:rFonts w:cs="Arial"/>
        </w:rPr>
        <w:t xml:space="preserve">decide when to </w:t>
      </w:r>
      <w:r w:rsidRPr="00140B2F">
        <w:rPr>
          <w:rFonts w:cs="Arial"/>
        </w:rPr>
        <w:t xml:space="preserve">realise investments as and when they consider appropriate in accordance with their management discretion. </w:t>
      </w:r>
    </w:p>
    <w:p w:rsidR="00AC487B" w:rsidRPr="00127D40" w:rsidRDefault="00B82A13" w:rsidP="00AC487B">
      <w:pPr>
        <w:spacing w:after="240"/>
        <w:rPr>
          <w:rFonts w:cs="Arial"/>
          <w:color w:val="auto"/>
          <w:highlight w:val="green"/>
        </w:rPr>
      </w:pPr>
    </w:p>
    <w:p w:rsidR="00334FD0" w:rsidRPr="00140B2F" w:rsidRDefault="00B82A13" w:rsidP="00AC487B">
      <w:pPr>
        <w:pStyle w:val="Heading4"/>
        <w:spacing w:after="240"/>
        <w:ind w:left="357" w:hanging="357"/>
        <w:jc w:val="both"/>
        <w:rPr>
          <w:sz w:val="24"/>
          <w:szCs w:val="24"/>
        </w:rPr>
      </w:pPr>
      <w:r w:rsidRPr="00140B2F">
        <w:rPr>
          <w:sz w:val="24"/>
          <w:szCs w:val="24"/>
        </w:rPr>
        <w:t>Corporate Governance and Responsible Investment</w:t>
      </w:r>
    </w:p>
    <w:p w:rsidR="00160C0D" w:rsidRPr="00140B2F" w:rsidRDefault="00B82A13" w:rsidP="00160C0D">
      <w:pPr>
        <w:spacing w:after="0"/>
        <w:jc w:val="left"/>
        <w:rPr>
          <w:rFonts w:eastAsia="Times New Roman" w:cs="Arial"/>
          <w:b/>
          <w:color w:val="auto"/>
          <w:lang w:eastAsia="en-GB"/>
        </w:rPr>
      </w:pPr>
      <w:r w:rsidRPr="00140B2F">
        <w:rPr>
          <w:rFonts w:eastAsia="Times New Roman" w:cs="Arial"/>
          <w:b/>
          <w:color w:val="auto"/>
          <w:lang w:eastAsia="en-GB"/>
        </w:rPr>
        <w:t xml:space="preserve">Corporate </w:t>
      </w:r>
      <w:r w:rsidRPr="00140B2F">
        <w:rPr>
          <w:rFonts w:eastAsia="Times New Roman" w:cs="Arial"/>
          <w:b/>
          <w:color w:val="auto"/>
          <w:lang w:eastAsia="en-GB"/>
        </w:rPr>
        <w:t>Governance</w:t>
      </w:r>
    </w:p>
    <w:p w:rsidR="00160C0D" w:rsidRPr="00140B2F" w:rsidRDefault="00B82A13" w:rsidP="00160C0D">
      <w:pPr>
        <w:spacing w:after="0"/>
        <w:jc w:val="left"/>
        <w:rPr>
          <w:rFonts w:eastAsia="Times New Roman" w:cs="Arial"/>
          <w:color w:val="auto"/>
          <w:lang w:eastAsia="en-GB"/>
        </w:rPr>
      </w:pPr>
    </w:p>
    <w:p w:rsidR="00160C0D" w:rsidRPr="00140B2F" w:rsidRDefault="00B82A13" w:rsidP="00160C0D">
      <w:pPr>
        <w:spacing w:after="0"/>
        <w:jc w:val="left"/>
        <w:rPr>
          <w:rFonts w:eastAsia="Times New Roman" w:cs="Arial"/>
          <w:color w:val="auto"/>
          <w:lang w:eastAsia="en-GB"/>
        </w:rPr>
      </w:pPr>
      <w:r w:rsidRPr="00140B2F">
        <w:rPr>
          <w:rFonts w:eastAsia="Times New Roman" w:cs="Arial"/>
          <w:color w:val="auto"/>
          <w:lang w:eastAsia="en-GB"/>
        </w:rPr>
        <w:t xml:space="preserve">As a long term investor, the Fund recognises the importance of good corporate governance practices in the companies in which it invests. The Fund </w:t>
      </w:r>
      <w:r w:rsidRPr="00140B2F">
        <w:rPr>
          <w:rFonts w:eastAsia="Times New Roman" w:cs="Arial"/>
          <w:color w:val="auto"/>
          <w:lang w:eastAsia="en-GB"/>
        </w:rPr>
        <w:t xml:space="preserve">believes </w:t>
      </w:r>
      <w:r w:rsidRPr="00140B2F">
        <w:rPr>
          <w:rFonts w:eastAsia="Times New Roman" w:cs="Arial"/>
          <w:color w:val="auto"/>
          <w:lang w:eastAsia="en-GB"/>
        </w:rPr>
        <w:t>that good corporate governance contributes to business prosperity by encouraging well run</w:t>
      </w:r>
      <w:r w:rsidRPr="00140B2F">
        <w:rPr>
          <w:rFonts w:eastAsia="Times New Roman" w:cs="Arial"/>
          <w:color w:val="auto"/>
          <w:lang w:eastAsia="en-GB"/>
        </w:rPr>
        <w:t xml:space="preserve"> companies </w:t>
      </w:r>
      <w:r w:rsidRPr="00140B2F">
        <w:rPr>
          <w:rFonts w:eastAsia="Times New Roman" w:cs="Arial"/>
          <w:color w:val="auto"/>
          <w:lang w:eastAsia="en-GB"/>
        </w:rPr>
        <w:t xml:space="preserve">and an alignment of interests </w:t>
      </w:r>
      <w:r w:rsidRPr="00140B2F">
        <w:rPr>
          <w:rFonts w:eastAsia="Times New Roman" w:cs="Arial"/>
          <w:color w:val="auto"/>
          <w:lang w:eastAsia="en-GB"/>
        </w:rPr>
        <w:t>between boards, shareholders</w:t>
      </w:r>
      <w:r w:rsidRPr="00140B2F">
        <w:rPr>
          <w:rFonts w:eastAsia="Times New Roman" w:cs="Arial"/>
          <w:color w:val="auto"/>
          <w:lang w:eastAsia="en-GB"/>
        </w:rPr>
        <w:t xml:space="preserve">, customers, </w:t>
      </w:r>
      <w:r w:rsidRPr="00140B2F">
        <w:rPr>
          <w:rFonts w:eastAsia="Times New Roman" w:cs="Arial"/>
          <w:color w:val="auto"/>
          <w:lang w:eastAsia="en-GB"/>
        </w:rPr>
        <w:t>employees and wider society.</w:t>
      </w:r>
    </w:p>
    <w:p w:rsidR="00160C0D" w:rsidRPr="00127D40" w:rsidRDefault="00B82A13" w:rsidP="00160C0D">
      <w:pPr>
        <w:spacing w:after="0"/>
        <w:jc w:val="left"/>
        <w:rPr>
          <w:rFonts w:eastAsia="Times New Roman" w:cs="Arial"/>
          <w:color w:val="auto"/>
          <w:highlight w:val="green"/>
          <w:lang w:eastAsia="en-GB"/>
        </w:rPr>
      </w:pPr>
    </w:p>
    <w:p w:rsidR="00160C0D" w:rsidRPr="00140B2F" w:rsidRDefault="00B82A13" w:rsidP="00160C0D">
      <w:pPr>
        <w:spacing w:after="0"/>
        <w:jc w:val="left"/>
        <w:rPr>
          <w:rFonts w:eastAsia="Times New Roman" w:cs="Arial"/>
          <w:b/>
          <w:color w:val="auto"/>
          <w:lang w:eastAsia="en-GB"/>
        </w:rPr>
      </w:pPr>
      <w:r w:rsidRPr="00140B2F">
        <w:rPr>
          <w:rFonts w:eastAsia="Times New Roman" w:cs="Arial"/>
          <w:b/>
          <w:color w:val="auto"/>
          <w:lang w:eastAsia="en-GB"/>
        </w:rPr>
        <w:t>The Fund's approach to Corporate Governance</w:t>
      </w:r>
    </w:p>
    <w:p w:rsidR="00160C0D" w:rsidRPr="00140B2F" w:rsidRDefault="00B82A13" w:rsidP="00160C0D">
      <w:pPr>
        <w:spacing w:after="0"/>
        <w:jc w:val="left"/>
        <w:rPr>
          <w:rFonts w:eastAsia="Times New Roman" w:cs="Arial"/>
          <w:color w:val="auto"/>
          <w:lang w:eastAsia="en-GB"/>
        </w:rPr>
      </w:pPr>
    </w:p>
    <w:p w:rsidR="00160C0D" w:rsidRPr="00140B2F" w:rsidRDefault="00B82A13" w:rsidP="00127D40">
      <w:pPr>
        <w:spacing w:after="0"/>
        <w:jc w:val="left"/>
        <w:rPr>
          <w:rFonts w:eastAsia="Times New Roman" w:cs="Arial"/>
          <w:color w:val="auto"/>
          <w:lang w:eastAsia="en-GB"/>
        </w:rPr>
      </w:pPr>
      <w:r w:rsidRPr="00140B2F">
        <w:rPr>
          <w:rFonts w:eastAsia="Times New Roman" w:cs="Arial"/>
          <w:color w:val="auto"/>
          <w:lang w:eastAsia="en-GB"/>
        </w:rPr>
        <w:t xml:space="preserve">The Fund has a longstanding policy of supporting good corporate governance in the companies in </w:t>
      </w:r>
      <w:r w:rsidRPr="00140B2F">
        <w:rPr>
          <w:rFonts w:eastAsia="Times New Roman" w:cs="Arial"/>
          <w:color w:val="auto"/>
          <w:lang w:eastAsia="en-GB"/>
        </w:rPr>
        <w:t>which it invests</w:t>
      </w:r>
      <w:r w:rsidRPr="00140B2F">
        <w:rPr>
          <w:rFonts w:eastAsia="Times New Roman" w:cs="Arial"/>
          <w:color w:val="auto"/>
          <w:lang w:eastAsia="en-GB"/>
        </w:rPr>
        <w:t xml:space="preserve"> and seeks to actively </w:t>
      </w:r>
      <w:r w:rsidRPr="00140B2F">
        <w:t xml:space="preserve">exercise </w:t>
      </w:r>
      <w:r w:rsidRPr="00140B2F">
        <w:rPr>
          <w:rFonts w:eastAsia="Times New Roman" w:cs="Arial"/>
          <w:color w:val="auto"/>
          <w:lang w:eastAsia="en-GB"/>
        </w:rPr>
        <w:t>o</w:t>
      </w:r>
      <w:r w:rsidRPr="00140B2F">
        <w:rPr>
          <w:rFonts w:eastAsia="Times New Roman" w:cs="Arial"/>
          <w:color w:val="auto"/>
          <w:lang w:eastAsia="en-GB"/>
        </w:rPr>
        <w:t xml:space="preserve">wnership rights </w:t>
      </w:r>
      <w:r w:rsidRPr="00140B2F">
        <w:rPr>
          <w:rFonts w:eastAsia="Times New Roman" w:cs="Arial"/>
          <w:color w:val="auto"/>
          <w:lang w:eastAsia="en-GB"/>
        </w:rPr>
        <w:t xml:space="preserve">as a route for protecting </w:t>
      </w:r>
      <w:r w:rsidRPr="00140B2F">
        <w:rPr>
          <w:rFonts w:eastAsia="Times New Roman" w:cs="Arial"/>
          <w:color w:val="auto"/>
          <w:lang w:eastAsia="en-GB"/>
        </w:rPr>
        <w:t xml:space="preserve">the long-term </w:t>
      </w:r>
      <w:r w:rsidRPr="00140B2F">
        <w:rPr>
          <w:rFonts w:eastAsia="Times New Roman" w:cs="Arial"/>
          <w:color w:val="auto"/>
          <w:lang w:eastAsia="en-GB"/>
        </w:rPr>
        <w:t xml:space="preserve">investment interests of </w:t>
      </w:r>
      <w:r w:rsidRPr="00140B2F">
        <w:rPr>
          <w:rFonts w:eastAsia="Times New Roman" w:cs="Arial"/>
          <w:color w:val="auto"/>
          <w:lang w:eastAsia="en-GB"/>
        </w:rPr>
        <w:t>Fund's beneficiaries</w:t>
      </w:r>
      <w:r w:rsidRPr="00140B2F">
        <w:rPr>
          <w:rFonts w:eastAsia="Times New Roman" w:cs="Arial"/>
          <w:color w:val="auto"/>
          <w:lang w:eastAsia="en-GB"/>
        </w:rPr>
        <w:t xml:space="preserve">.  Ownership activities </w:t>
      </w:r>
      <w:r w:rsidRPr="00140B2F">
        <w:rPr>
          <w:rFonts w:eastAsia="Times New Roman" w:cs="Arial"/>
          <w:color w:val="auto"/>
          <w:lang w:eastAsia="en-GB"/>
        </w:rPr>
        <w:t xml:space="preserve">will </w:t>
      </w:r>
      <w:r w:rsidRPr="00140B2F">
        <w:rPr>
          <w:rFonts w:eastAsia="Times New Roman" w:cs="Arial"/>
          <w:color w:val="auto"/>
          <w:lang w:eastAsia="en-GB"/>
        </w:rPr>
        <w:t>vary by asset class but include representation on company boards</w:t>
      </w:r>
      <w:r w:rsidRPr="00140B2F">
        <w:rPr>
          <w:rFonts w:eastAsia="Times New Roman" w:cs="Arial"/>
          <w:color w:val="auto"/>
          <w:lang w:eastAsia="en-GB"/>
        </w:rPr>
        <w:t xml:space="preserve"> and advisory </w:t>
      </w:r>
      <w:r w:rsidRPr="00140B2F">
        <w:rPr>
          <w:rFonts w:eastAsia="Times New Roman" w:cs="Arial"/>
          <w:color w:val="auto"/>
          <w:lang w:eastAsia="en-GB"/>
        </w:rPr>
        <w:t>panels</w:t>
      </w:r>
      <w:r w:rsidRPr="00140B2F">
        <w:rPr>
          <w:rFonts w:eastAsia="Times New Roman" w:cs="Arial"/>
          <w:color w:val="auto"/>
          <w:lang w:eastAsia="en-GB"/>
        </w:rPr>
        <w:t>, shareholder voting, engagement</w:t>
      </w:r>
      <w:r w:rsidRPr="00140B2F">
        <w:rPr>
          <w:rFonts w:eastAsia="Times New Roman" w:cs="Arial"/>
          <w:color w:val="auto"/>
          <w:lang w:eastAsia="en-GB"/>
        </w:rPr>
        <w:t xml:space="preserve"> with companies and regulatory or representative bodies and membership of investor organisations such as the Local Authority Pensions Fund Forum and the Pensions and Lifetime Savings Association. </w:t>
      </w:r>
      <w:r w:rsidRPr="00140B2F">
        <w:rPr>
          <w:rFonts w:eastAsia="Times New Roman" w:cs="Arial"/>
          <w:color w:val="auto"/>
          <w:lang w:eastAsia="en-GB"/>
        </w:rPr>
        <w:t xml:space="preserve"> </w:t>
      </w:r>
      <w:r w:rsidRPr="00140B2F">
        <w:rPr>
          <w:rFonts w:eastAsia="Times New Roman" w:cs="Arial"/>
          <w:color w:val="auto"/>
          <w:lang w:eastAsia="en-GB"/>
        </w:rPr>
        <w:t>The</w:t>
      </w:r>
      <w:r w:rsidRPr="00140B2F">
        <w:t xml:space="preserve"> </w:t>
      </w:r>
      <w:r w:rsidRPr="00140B2F">
        <w:t>i</w:t>
      </w:r>
      <w:r w:rsidRPr="00140B2F">
        <w:t>mplementation of</w:t>
      </w:r>
      <w:r w:rsidRPr="00140B2F">
        <w:t xml:space="preserve"> the Fund's ownership activities is delegated to LPP I</w:t>
      </w:r>
      <w:r w:rsidRPr="00140B2F">
        <w:t xml:space="preserve"> and is focussed </w:t>
      </w:r>
      <w:r w:rsidRPr="00140B2F">
        <w:t xml:space="preserve">on </w:t>
      </w:r>
      <w:r w:rsidRPr="00140B2F">
        <w:rPr>
          <w:rFonts w:eastAsia="Times New Roman" w:cs="Arial"/>
          <w:color w:val="auto"/>
          <w:lang w:eastAsia="en-GB"/>
        </w:rPr>
        <w:t>protect</w:t>
      </w:r>
      <w:r w:rsidRPr="00140B2F">
        <w:rPr>
          <w:rFonts w:eastAsia="Times New Roman" w:cs="Arial"/>
          <w:color w:val="auto"/>
          <w:lang w:eastAsia="en-GB"/>
        </w:rPr>
        <w:t>ing ownership rights, minimising</w:t>
      </w:r>
      <w:r w:rsidRPr="00140B2F">
        <w:rPr>
          <w:rFonts w:eastAsia="Times New Roman" w:cs="Arial"/>
          <w:color w:val="auto"/>
          <w:lang w:eastAsia="en-GB"/>
        </w:rPr>
        <w:t xml:space="preserve"> risk to companies from c</w:t>
      </w:r>
      <w:r w:rsidRPr="00140B2F">
        <w:rPr>
          <w:rFonts w:eastAsia="Times New Roman" w:cs="Arial"/>
          <w:color w:val="auto"/>
          <w:lang w:eastAsia="en-GB"/>
        </w:rPr>
        <w:t>orporate governance failure, enhancing long-term value and encouraging</w:t>
      </w:r>
      <w:r w:rsidRPr="00140B2F">
        <w:rPr>
          <w:rFonts w:eastAsia="Times New Roman" w:cs="Arial"/>
          <w:color w:val="auto"/>
          <w:lang w:eastAsia="en-GB"/>
        </w:rPr>
        <w:t xml:space="preserve"> corporate social responsibility.</w:t>
      </w:r>
    </w:p>
    <w:p w:rsidR="00160C0D" w:rsidRPr="00127D40" w:rsidRDefault="00B82A13" w:rsidP="00160C0D">
      <w:pPr>
        <w:spacing w:after="0"/>
        <w:jc w:val="left"/>
        <w:rPr>
          <w:rFonts w:eastAsia="Times New Roman" w:cs="Arial"/>
          <w:color w:val="auto"/>
          <w:highlight w:val="green"/>
          <w:lang w:eastAsia="en-GB"/>
        </w:rPr>
      </w:pPr>
    </w:p>
    <w:p w:rsidR="00970B27" w:rsidRPr="00127D40" w:rsidRDefault="00B82A13" w:rsidP="00160C0D">
      <w:pPr>
        <w:spacing w:after="0"/>
        <w:jc w:val="left"/>
        <w:rPr>
          <w:rFonts w:eastAsia="Times New Roman" w:cs="Arial"/>
          <w:color w:val="auto"/>
          <w:highlight w:val="green"/>
          <w:lang w:eastAsia="en-GB"/>
        </w:rPr>
      </w:pPr>
    </w:p>
    <w:p w:rsidR="00160C0D" w:rsidRPr="00140B2F" w:rsidRDefault="00B82A13" w:rsidP="00160C0D">
      <w:pPr>
        <w:spacing w:after="0"/>
        <w:jc w:val="left"/>
        <w:rPr>
          <w:rFonts w:eastAsia="Times New Roman" w:cs="Arial"/>
          <w:b/>
          <w:color w:val="auto"/>
          <w:lang w:eastAsia="en-GB"/>
        </w:rPr>
      </w:pPr>
      <w:r w:rsidRPr="00140B2F">
        <w:rPr>
          <w:rFonts w:eastAsia="Times New Roman" w:cs="Arial"/>
          <w:b/>
          <w:color w:val="auto"/>
          <w:lang w:eastAsia="en-GB"/>
        </w:rPr>
        <w:t xml:space="preserve">Responsible </w:t>
      </w:r>
      <w:r w:rsidRPr="00140B2F">
        <w:rPr>
          <w:rFonts w:eastAsia="Times New Roman" w:cs="Arial"/>
          <w:b/>
          <w:color w:val="auto"/>
          <w:lang w:eastAsia="en-GB"/>
        </w:rPr>
        <w:t>Investment</w:t>
      </w:r>
    </w:p>
    <w:p w:rsidR="00160C0D" w:rsidRPr="00140B2F" w:rsidRDefault="00B82A13" w:rsidP="00160C0D">
      <w:pPr>
        <w:spacing w:after="0"/>
        <w:jc w:val="left"/>
        <w:rPr>
          <w:rFonts w:eastAsia="Times New Roman" w:cs="Arial"/>
          <w:color w:val="auto"/>
          <w:lang w:eastAsia="en-GB"/>
        </w:rPr>
      </w:pPr>
    </w:p>
    <w:p w:rsidR="00160C0D" w:rsidRPr="00140B2F" w:rsidRDefault="00B82A13" w:rsidP="00160C0D">
      <w:pPr>
        <w:spacing w:after="0"/>
        <w:jc w:val="left"/>
        <w:rPr>
          <w:rFonts w:eastAsia="Times New Roman" w:cs="Arial"/>
          <w:color w:val="auto"/>
          <w:lang w:eastAsia="en-GB"/>
        </w:rPr>
      </w:pPr>
      <w:r w:rsidRPr="00140B2F">
        <w:rPr>
          <w:rFonts w:eastAsia="Times New Roman" w:cs="Arial"/>
          <w:color w:val="auto"/>
          <w:lang w:eastAsia="en-GB"/>
        </w:rPr>
        <w:t>Responsible Investment is an investment approach in which investors recognise the importance of the long-term health and stability of the market as a whole; seeking to incorporate material extra-financial factors alongside other financial perfo</w:t>
      </w:r>
      <w:r w:rsidRPr="00140B2F">
        <w:rPr>
          <w:rFonts w:eastAsia="Times New Roman" w:cs="Arial"/>
          <w:color w:val="auto"/>
          <w:lang w:eastAsia="en-GB"/>
        </w:rPr>
        <w:t>rmance and strategic assessments within investment decisions; and utilise ownership rights and responsibilities attached to assets to protect and enhance shareholder value over the long term – primarily through voting and engagement. The objective of respo</w:t>
      </w:r>
      <w:r w:rsidRPr="00140B2F">
        <w:rPr>
          <w:rFonts w:eastAsia="Times New Roman" w:cs="Arial"/>
          <w:color w:val="auto"/>
          <w:lang w:eastAsia="en-GB"/>
        </w:rPr>
        <w:t>nsible investment is decreasing investor risk and improving risk-adjusted returns.</w:t>
      </w:r>
    </w:p>
    <w:p w:rsidR="00160C0D" w:rsidRPr="00140B2F" w:rsidRDefault="00B82A13" w:rsidP="00160C0D">
      <w:pPr>
        <w:spacing w:after="0"/>
        <w:jc w:val="left"/>
        <w:rPr>
          <w:rFonts w:eastAsia="Times New Roman" w:cs="Arial"/>
          <w:color w:val="auto"/>
          <w:lang w:eastAsia="en-GB"/>
        </w:rPr>
      </w:pPr>
    </w:p>
    <w:p w:rsidR="00160C0D" w:rsidRPr="00140B2F" w:rsidRDefault="00B82A13" w:rsidP="00160C0D">
      <w:pPr>
        <w:spacing w:after="0"/>
        <w:jc w:val="left"/>
        <w:rPr>
          <w:rFonts w:eastAsia="Times New Roman" w:cs="Arial"/>
          <w:color w:val="auto"/>
          <w:lang w:eastAsia="en-GB"/>
        </w:rPr>
      </w:pPr>
      <w:r w:rsidRPr="00140B2F">
        <w:rPr>
          <w:rFonts w:eastAsia="Times New Roman" w:cs="Arial"/>
          <w:color w:val="auto"/>
          <w:lang w:eastAsia="en-GB"/>
        </w:rPr>
        <w:t>Examples of potentially material risks to be considered as part of the Fund's voting and engagement activity are set out below:</w:t>
      </w:r>
    </w:p>
    <w:p w:rsidR="00160C0D" w:rsidRPr="00140B2F" w:rsidRDefault="00B82A13" w:rsidP="00160C0D">
      <w:pPr>
        <w:spacing w:after="0"/>
        <w:jc w:val="left"/>
        <w:rPr>
          <w:rFonts w:eastAsia="Times New Roman" w:cs="Arial"/>
          <w:color w:val="auto"/>
          <w:lang w:eastAsia="en-GB"/>
        </w:rPr>
      </w:pPr>
    </w:p>
    <w:p w:rsidR="00160C0D" w:rsidRPr="00140B2F" w:rsidRDefault="00B82A13" w:rsidP="00160C0D">
      <w:pPr>
        <w:spacing w:after="0"/>
        <w:jc w:val="left"/>
        <w:rPr>
          <w:rFonts w:eastAsia="Times New Roman" w:cs="Arial"/>
          <w:i/>
          <w:color w:val="auto"/>
          <w:lang w:eastAsia="en-GB"/>
        </w:rPr>
      </w:pPr>
      <w:r w:rsidRPr="00140B2F">
        <w:rPr>
          <w:rFonts w:eastAsia="Times New Roman" w:cs="Arial"/>
          <w:i/>
          <w:color w:val="auto"/>
          <w:lang w:eastAsia="en-GB"/>
        </w:rPr>
        <w:t>Governance risks:</w:t>
      </w:r>
    </w:p>
    <w:p w:rsidR="00160C0D" w:rsidRPr="00140B2F" w:rsidRDefault="00B82A13" w:rsidP="00160C0D">
      <w:pPr>
        <w:numPr>
          <w:ilvl w:val="0"/>
          <w:numId w:val="21"/>
        </w:numPr>
        <w:autoSpaceDE/>
        <w:autoSpaceDN/>
        <w:adjustRightInd/>
        <w:spacing w:after="0"/>
        <w:contextualSpacing/>
        <w:jc w:val="left"/>
        <w:rPr>
          <w:rFonts w:eastAsia="Times New Roman" w:cs="Arial"/>
          <w:color w:val="auto"/>
          <w:lang w:eastAsia="en-GB"/>
        </w:rPr>
      </w:pPr>
      <w:r w:rsidRPr="00140B2F">
        <w:rPr>
          <w:rFonts w:eastAsia="Times New Roman" w:cs="Arial"/>
          <w:color w:val="auto"/>
          <w:lang w:eastAsia="en-GB"/>
        </w:rPr>
        <w:t>Board independence – Non-</w:t>
      </w:r>
      <w:r w:rsidRPr="00140B2F">
        <w:rPr>
          <w:rFonts w:eastAsia="Times New Roman" w:cs="Arial"/>
          <w:color w:val="auto"/>
          <w:lang w:eastAsia="en-GB"/>
        </w:rPr>
        <w:t>Executive Directors play a vital role in overseeing the executive management and safeguarding the interests of shareholders;</w:t>
      </w:r>
    </w:p>
    <w:p w:rsidR="00160C0D" w:rsidRPr="00140B2F" w:rsidRDefault="00B82A13" w:rsidP="00160C0D">
      <w:pPr>
        <w:numPr>
          <w:ilvl w:val="0"/>
          <w:numId w:val="21"/>
        </w:numPr>
        <w:autoSpaceDE/>
        <w:autoSpaceDN/>
        <w:adjustRightInd/>
        <w:spacing w:after="0"/>
        <w:contextualSpacing/>
        <w:jc w:val="left"/>
        <w:rPr>
          <w:rFonts w:eastAsia="Times New Roman" w:cs="Arial"/>
          <w:color w:val="auto"/>
          <w:lang w:eastAsia="en-GB"/>
        </w:rPr>
      </w:pPr>
      <w:r w:rsidRPr="00140B2F">
        <w:rPr>
          <w:rFonts w:eastAsia="Times New Roman" w:cs="Arial"/>
          <w:color w:val="auto"/>
          <w:lang w:eastAsia="en-GB"/>
        </w:rPr>
        <w:t>Succession planning – An ineffective policy can have implications for a company's performance, including uncertainty over its susta</w:t>
      </w:r>
      <w:r w:rsidRPr="00140B2F">
        <w:rPr>
          <w:rFonts w:eastAsia="Times New Roman" w:cs="Arial"/>
          <w:color w:val="auto"/>
          <w:lang w:eastAsia="en-GB"/>
        </w:rPr>
        <w:t>inability;</w:t>
      </w:r>
    </w:p>
    <w:p w:rsidR="00160C0D" w:rsidRPr="00140B2F" w:rsidRDefault="00B82A13" w:rsidP="00160C0D">
      <w:pPr>
        <w:numPr>
          <w:ilvl w:val="0"/>
          <w:numId w:val="21"/>
        </w:numPr>
        <w:autoSpaceDE/>
        <w:autoSpaceDN/>
        <w:adjustRightInd/>
        <w:spacing w:after="0"/>
        <w:contextualSpacing/>
        <w:jc w:val="left"/>
        <w:rPr>
          <w:rFonts w:eastAsia="Times New Roman" w:cs="Arial"/>
          <w:color w:val="auto"/>
          <w:lang w:eastAsia="en-GB"/>
        </w:rPr>
      </w:pPr>
      <w:r w:rsidRPr="00140B2F">
        <w:rPr>
          <w:rFonts w:eastAsia="Times New Roman" w:cs="Arial"/>
          <w:color w:val="auto"/>
          <w:lang w:eastAsia="en-GB"/>
        </w:rPr>
        <w:t>Board diversity – Research suggests that shareholders, companies and boards are not best served by an overly homogenous board prone to group think;</w:t>
      </w:r>
    </w:p>
    <w:p w:rsidR="00160C0D" w:rsidRPr="00140B2F" w:rsidRDefault="00B82A13" w:rsidP="00160C0D">
      <w:pPr>
        <w:numPr>
          <w:ilvl w:val="0"/>
          <w:numId w:val="21"/>
        </w:numPr>
        <w:autoSpaceDE/>
        <w:autoSpaceDN/>
        <w:adjustRightInd/>
        <w:spacing w:after="0"/>
        <w:contextualSpacing/>
        <w:jc w:val="left"/>
        <w:rPr>
          <w:rFonts w:eastAsia="Times New Roman" w:cs="Arial"/>
          <w:color w:val="auto"/>
          <w:lang w:eastAsia="en-GB"/>
        </w:rPr>
      </w:pPr>
      <w:r w:rsidRPr="00140B2F">
        <w:rPr>
          <w:rFonts w:eastAsia="Times New Roman" w:cs="Arial"/>
          <w:color w:val="auto"/>
          <w:lang w:eastAsia="en-GB"/>
        </w:rPr>
        <w:t>Auditors – The independence of auditors plays a crucial role in protecting shareholders.</w:t>
      </w:r>
    </w:p>
    <w:p w:rsidR="00160C0D" w:rsidRPr="00140B2F" w:rsidRDefault="00B82A13" w:rsidP="00160C0D">
      <w:pPr>
        <w:spacing w:after="0"/>
        <w:jc w:val="left"/>
        <w:rPr>
          <w:rFonts w:eastAsia="Times New Roman" w:cs="Arial"/>
          <w:color w:val="auto"/>
          <w:lang w:eastAsia="en-GB"/>
        </w:rPr>
      </w:pPr>
    </w:p>
    <w:p w:rsidR="00160C0D" w:rsidRPr="00140B2F" w:rsidRDefault="00B82A13" w:rsidP="00160C0D">
      <w:pPr>
        <w:spacing w:after="0"/>
        <w:jc w:val="left"/>
        <w:rPr>
          <w:rFonts w:eastAsia="Times New Roman" w:cs="Arial"/>
          <w:i/>
          <w:color w:val="auto"/>
          <w:lang w:eastAsia="en-GB"/>
        </w:rPr>
      </w:pPr>
      <w:r w:rsidRPr="00140B2F">
        <w:rPr>
          <w:rFonts w:eastAsia="Times New Roman" w:cs="Arial"/>
          <w:i/>
          <w:color w:val="auto"/>
          <w:lang w:eastAsia="en-GB"/>
        </w:rPr>
        <w:t>Environ</w:t>
      </w:r>
      <w:r w:rsidRPr="00140B2F">
        <w:rPr>
          <w:rFonts w:eastAsia="Times New Roman" w:cs="Arial"/>
          <w:i/>
          <w:color w:val="auto"/>
          <w:lang w:eastAsia="en-GB"/>
        </w:rPr>
        <w:t>mental risks:</w:t>
      </w:r>
    </w:p>
    <w:p w:rsidR="00160C0D" w:rsidRPr="00140B2F" w:rsidRDefault="00B82A13" w:rsidP="00160C0D">
      <w:pPr>
        <w:numPr>
          <w:ilvl w:val="0"/>
          <w:numId w:val="22"/>
        </w:numPr>
        <w:autoSpaceDE/>
        <w:autoSpaceDN/>
        <w:adjustRightInd/>
        <w:spacing w:after="0"/>
        <w:contextualSpacing/>
        <w:jc w:val="left"/>
        <w:rPr>
          <w:rFonts w:eastAsia="Times New Roman" w:cs="Arial"/>
          <w:color w:val="auto"/>
          <w:lang w:eastAsia="en-GB"/>
        </w:rPr>
      </w:pPr>
      <w:r w:rsidRPr="00140B2F">
        <w:rPr>
          <w:rFonts w:eastAsia="Times New Roman" w:cs="Arial"/>
          <w:color w:val="auto"/>
          <w:lang w:eastAsia="en-GB"/>
        </w:rPr>
        <w:t>High intensity industries will incur additional financial costs from carbon regulations in different jurisdictions. Changes in climate will affect company supply chains and fixed assets;</w:t>
      </w:r>
    </w:p>
    <w:p w:rsidR="00160C0D" w:rsidRPr="00140B2F" w:rsidRDefault="00B82A13" w:rsidP="00160C0D">
      <w:pPr>
        <w:numPr>
          <w:ilvl w:val="0"/>
          <w:numId w:val="22"/>
        </w:numPr>
        <w:autoSpaceDE/>
        <w:autoSpaceDN/>
        <w:adjustRightInd/>
        <w:spacing w:after="0"/>
        <w:contextualSpacing/>
        <w:jc w:val="left"/>
        <w:rPr>
          <w:rFonts w:eastAsia="Times New Roman" w:cs="Arial"/>
          <w:color w:val="auto"/>
          <w:lang w:eastAsia="en-GB"/>
        </w:rPr>
      </w:pPr>
      <w:r w:rsidRPr="00140B2F">
        <w:rPr>
          <w:rFonts w:eastAsia="Times New Roman" w:cs="Arial"/>
          <w:color w:val="auto"/>
          <w:lang w:eastAsia="en-GB"/>
        </w:rPr>
        <w:t xml:space="preserve">Energy use – Through effective management of energy </w:t>
      </w:r>
      <w:r w:rsidRPr="00140B2F">
        <w:rPr>
          <w:rFonts w:eastAsia="Times New Roman" w:cs="Arial"/>
          <w:color w:val="auto"/>
          <w:lang w:eastAsia="en-GB"/>
        </w:rPr>
        <w:t>use, companies are able to reduce energy costs as well as build security of supply;</w:t>
      </w:r>
    </w:p>
    <w:p w:rsidR="00160C0D" w:rsidRPr="00140B2F" w:rsidRDefault="00B82A13" w:rsidP="00160C0D">
      <w:pPr>
        <w:numPr>
          <w:ilvl w:val="0"/>
          <w:numId w:val="22"/>
        </w:numPr>
        <w:autoSpaceDE/>
        <w:autoSpaceDN/>
        <w:adjustRightInd/>
        <w:spacing w:after="0"/>
        <w:contextualSpacing/>
        <w:jc w:val="left"/>
        <w:rPr>
          <w:rFonts w:eastAsia="Times New Roman" w:cs="Arial"/>
          <w:color w:val="auto"/>
          <w:lang w:eastAsia="en-GB"/>
        </w:rPr>
      </w:pPr>
      <w:r w:rsidRPr="00140B2F">
        <w:rPr>
          <w:rFonts w:eastAsia="Times New Roman" w:cs="Arial"/>
          <w:color w:val="auto"/>
          <w:lang w:eastAsia="en-GB"/>
        </w:rPr>
        <w:t>Natural resources – Demand for raw materials is ever increasing, this has implications including increasing regulation around sourcing and use of resources;</w:t>
      </w:r>
    </w:p>
    <w:p w:rsidR="00160C0D" w:rsidRPr="00140B2F" w:rsidRDefault="00B82A13" w:rsidP="00160C0D">
      <w:pPr>
        <w:numPr>
          <w:ilvl w:val="0"/>
          <w:numId w:val="22"/>
        </w:numPr>
        <w:autoSpaceDE/>
        <w:autoSpaceDN/>
        <w:adjustRightInd/>
        <w:spacing w:after="0"/>
        <w:contextualSpacing/>
        <w:jc w:val="left"/>
        <w:rPr>
          <w:rFonts w:eastAsia="Times New Roman" w:cs="Arial"/>
          <w:color w:val="auto"/>
          <w:lang w:eastAsia="en-GB"/>
        </w:rPr>
      </w:pPr>
      <w:r w:rsidRPr="00140B2F">
        <w:rPr>
          <w:rFonts w:eastAsia="Times New Roman" w:cs="Arial"/>
          <w:color w:val="auto"/>
          <w:lang w:eastAsia="en-GB"/>
        </w:rPr>
        <w:t xml:space="preserve">Water – A </w:t>
      </w:r>
      <w:r w:rsidRPr="00140B2F">
        <w:rPr>
          <w:rFonts w:eastAsia="Times New Roman" w:cs="Arial"/>
          <w:color w:val="auto"/>
          <w:lang w:eastAsia="en-GB"/>
        </w:rPr>
        <w:t>growing global population is leading to rising consumption – this in turn increases costs and creates tensions or conflicts.</w:t>
      </w:r>
    </w:p>
    <w:p w:rsidR="00160C0D" w:rsidRPr="00140B2F" w:rsidRDefault="00B82A13" w:rsidP="00160C0D">
      <w:pPr>
        <w:spacing w:after="0"/>
        <w:jc w:val="left"/>
        <w:rPr>
          <w:rFonts w:eastAsia="Times New Roman" w:cs="Arial"/>
          <w:color w:val="auto"/>
          <w:lang w:eastAsia="en-GB"/>
        </w:rPr>
      </w:pPr>
    </w:p>
    <w:p w:rsidR="00160C0D" w:rsidRPr="00140B2F" w:rsidRDefault="00B82A13" w:rsidP="00160C0D">
      <w:pPr>
        <w:spacing w:after="0"/>
        <w:jc w:val="left"/>
        <w:rPr>
          <w:rFonts w:eastAsia="Times New Roman" w:cs="Arial"/>
          <w:i/>
          <w:color w:val="auto"/>
          <w:lang w:eastAsia="en-GB"/>
        </w:rPr>
      </w:pPr>
      <w:r w:rsidRPr="00140B2F">
        <w:rPr>
          <w:rFonts w:eastAsia="Times New Roman" w:cs="Arial"/>
          <w:i/>
          <w:color w:val="auto"/>
          <w:lang w:eastAsia="en-GB"/>
        </w:rPr>
        <w:t>Social risks:</w:t>
      </w:r>
    </w:p>
    <w:p w:rsidR="00160C0D" w:rsidRPr="00140B2F" w:rsidRDefault="00B82A13" w:rsidP="00160C0D">
      <w:pPr>
        <w:numPr>
          <w:ilvl w:val="0"/>
          <w:numId w:val="23"/>
        </w:numPr>
        <w:autoSpaceDE/>
        <w:autoSpaceDN/>
        <w:adjustRightInd/>
        <w:spacing w:after="0"/>
        <w:contextualSpacing/>
        <w:jc w:val="left"/>
        <w:rPr>
          <w:rFonts w:eastAsia="Times New Roman" w:cs="Arial"/>
          <w:color w:val="auto"/>
          <w:lang w:eastAsia="en-GB"/>
        </w:rPr>
      </w:pPr>
      <w:r w:rsidRPr="00140B2F">
        <w:rPr>
          <w:rFonts w:eastAsia="Times New Roman" w:cs="Arial"/>
          <w:color w:val="auto"/>
          <w:lang w:eastAsia="en-GB"/>
        </w:rPr>
        <w:t>Human rights – Companies operating in companies with poor human rights records may face significant challenges, such</w:t>
      </w:r>
      <w:r w:rsidRPr="00140B2F">
        <w:rPr>
          <w:rFonts w:eastAsia="Times New Roman" w:cs="Arial"/>
          <w:color w:val="auto"/>
          <w:lang w:eastAsia="en-GB"/>
        </w:rPr>
        <w:t xml:space="preserve"> as legal challenges or reputational damage;</w:t>
      </w:r>
    </w:p>
    <w:p w:rsidR="00160C0D" w:rsidRPr="00140B2F" w:rsidRDefault="00B82A13" w:rsidP="00160C0D">
      <w:pPr>
        <w:numPr>
          <w:ilvl w:val="0"/>
          <w:numId w:val="23"/>
        </w:numPr>
        <w:autoSpaceDE/>
        <w:autoSpaceDN/>
        <w:adjustRightInd/>
        <w:spacing w:after="0"/>
        <w:contextualSpacing/>
        <w:jc w:val="left"/>
        <w:rPr>
          <w:rFonts w:eastAsia="Times New Roman" w:cs="Arial"/>
          <w:color w:val="auto"/>
          <w:lang w:eastAsia="en-GB"/>
        </w:rPr>
      </w:pPr>
      <w:r w:rsidRPr="00140B2F">
        <w:rPr>
          <w:rFonts w:eastAsia="Times New Roman" w:cs="Arial"/>
          <w:color w:val="auto"/>
          <w:lang w:eastAsia="en-GB"/>
        </w:rPr>
        <w:t>Employment – Research indicates that well managed employee relations improve worker productivity and effectiveness in turn benefitting shareholders;</w:t>
      </w:r>
    </w:p>
    <w:p w:rsidR="00160C0D" w:rsidRPr="00140B2F" w:rsidRDefault="00B82A13" w:rsidP="00160C0D">
      <w:pPr>
        <w:numPr>
          <w:ilvl w:val="0"/>
          <w:numId w:val="23"/>
        </w:numPr>
        <w:autoSpaceDE/>
        <w:autoSpaceDN/>
        <w:adjustRightInd/>
        <w:spacing w:after="0"/>
        <w:contextualSpacing/>
        <w:jc w:val="left"/>
        <w:rPr>
          <w:rFonts w:eastAsia="Times New Roman" w:cs="Arial"/>
          <w:color w:val="auto"/>
          <w:lang w:eastAsia="en-GB"/>
        </w:rPr>
      </w:pPr>
      <w:r w:rsidRPr="00140B2F">
        <w:rPr>
          <w:rFonts w:eastAsia="Times New Roman" w:cs="Arial"/>
          <w:color w:val="auto"/>
          <w:lang w:eastAsia="en-GB"/>
        </w:rPr>
        <w:t>Health and safety – Companies with poor health and safety reco</w:t>
      </w:r>
      <w:r w:rsidRPr="00140B2F">
        <w:rPr>
          <w:rFonts w:eastAsia="Times New Roman" w:cs="Arial"/>
          <w:color w:val="auto"/>
          <w:lang w:eastAsia="en-GB"/>
        </w:rPr>
        <w:t>rds may face prosecutions, fines and in extreme cases, the withdrawal of licences to operate;</w:t>
      </w:r>
    </w:p>
    <w:p w:rsidR="00160C0D" w:rsidRPr="00140B2F" w:rsidRDefault="00B82A13" w:rsidP="00160C0D">
      <w:pPr>
        <w:numPr>
          <w:ilvl w:val="0"/>
          <w:numId w:val="23"/>
        </w:numPr>
        <w:autoSpaceDE/>
        <w:autoSpaceDN/>
        <w:adjustRightInd/>
        <w:spacing w:after="0"/>
        <w:contextualSpacing/>
        <w:jc w:val="left"/>
        <w:rPr>
          <w:rFonts w:eastAsia="Times New Roman" w:cs="Arial"/>
          <w:color w:val="auto"/>
          <w:lang w:eastAsia="en-GB"/>
        </w:rPr>
      </w:pPr>
      <w:r w:rsidRPr="00140B2F">
        <w:rPr>
          <w:rFonts w:eastAsia="Times New Roman" w:cs="Arial"/>
          <w:color w:val="auto"/>
          <w:lang w:eastAsia="en-GB"/>
        </w:rPr>
        <w:t>Supply chain – Companies are increasingly reliant on a large, global workforce, exposing them to increased risks of disruptions.</w:t>
      </w:r>
    </w:p>
    <w:p w:rsidR="00160C0D" w:rsidRPr="00140B2F" w:rsidRDefault="00B82A13" w:rsidP="00160C0D">
      <w:pPr>
        <w:spacing w:after="0"/>
        <w:jc w:val="left"/>
        <w:rPr>
          <w:rFonts w:eastAsia="Times New Roman" w:cs="Arial"/>
          <w:color w:val="auto"/>
          <w:lang w:eastAsia="en-GB"/>
        </w:rPr>
      </w:pPr>
    </w:p>
    <w:p w:rsidR="00160C0D" w:rsidRPr="00140B2F" w:rsidRDefault="00B82A13" w:rsidP="00160C0D">
      <w:pPr>
        <w:spacing w:after="0"/>
        <w:jc w:val="left"/>
        <w:rPr>
          <w:rFonts w:eastAsia="Times New Roman" w:cs="Arial"/>
          <w:color w:val="auto"/>
          <w:lang w:eastAsia="en-GB"/>
        </w:rPr>
      </w:pPr>
      <w:r w:rsidRPr="00140B2F">
        <w:rPr>
          <w:rFonts w:eastAsia="Times New Roman" w:cs="Arial"/>
          <w:color w:val="auto"/>
          <w:lang w:eastAsia="en-GB"/>
        </w:rPr>
        <w:t>Implementing a responsible inves</w:t>
      </w:r>
      <w:r w:rsidRPr="00140B2F">
        <w:rPr>
          <w:rFonts w:eastAsia="Times New Roman" w:cs="Arial"/>
          <w:color w:val="auto"/>
          <w:lang w:eastAsia="en-GB"/>
        </w:rPr>
        <w:t>tment policy helps a pension fund to adhere to the UK Stewardship Code. The Fund’s current position relating to the UK Stewardship Code can be found in a separate statement on its website.</w:t>
      </w:r>
    </w:p>
    <w:p w:rsidR="00160C0D" w:rsidRPr="00140B2F" w:rsidRDefault="00B82A13" w:rsidP="00160C0D">
      <w:pPr>
        <w:spacing w:after="0"/>
        <w:jc w:val="left"/>
        <w:rPr>
          <w:rFonts w:eastAsia="Times New Roman" w:cs="Arial"/>
          <w:color w:val="auto"/>
          <w:lang w:eastAsia="en-GB"/>
        </w:rPr>
      </w:pPr>
    </w:p>
    <w:p w:rsidR="00160C0D" w:rsidRPr="00140B2F" w:rsidRDefault="00B82A13" w:rsidP="00160C0D">
      <w:pPr>
        <w:spacing w:after="0"/>
        <w:jc w:val="left"/>
        <w:rPr>
          <w:rFonts w:eastAsia="Times New Roman" w:cs="Arial"/>
          <w:color w:val="auto"/>
          <w:lang w:eastAsia="en-GB"/>
        </w:rPr>
      </w:pPr>
      <w:r w:rsidRPr="00140B2F">
        <w:rPr>
          <w:rFonts w:eastAsia="Times New Roman" w:cs="Arial"/>
          <w:color w:val="auto"/>
          <w:lang w:eastAsia="en-GB"/>
        </w:rPr>
        <w:t>Lack of good governance interferes with a company’s ability to fun</w:t>
      </w:r>
      <w:r w:rsidRPr="00140B2F">
        <w:rPr>
          <w:rFonts w:eastAsia="Times New Roman" w:cs="Arial"/>
          <w:color w:val="auto"/>
          <w:lang w:eastAsia="en-GB"/>
        </w:rPr>
        <w:t>ction effectively and is a threat to the Fund’s financial interest in that company.</w:t>
      </w:r>
    </w:p>
    <w:p w:rsidR="00160C0D" w:rsidRPr="00140B2F" w:rsidRDefault="00B82A13" w:rsidP="00160C0D">
      <w:pPr>
        <w:spacing w:after="0"/>
        <w:jc w:val="left"/>
        <w:rPr>
          <w:rFonts w:eastAsia="Times New Roman" w:cs="Arial"/>
          <w:color w:val="auto"/>
          <w:lang w:eastAsia="en-GB"/>
        </w:rPr>
      </w:pPr>
    </w:p>
    <w:p w:rsidR="00160C0D" w:rsidRPr="00140B2F" w:rsidRDefault="00B82A13" w:rsidP="00160C0D">
      <w:pPr>
        <w:spacing w:after="0"/>
        <w:jc w:val="left"/>
        <w:rPr>
          <w:rFonts w:eastAsia="Times New Roman" w:cs="Arial"/>
          <w:b/>
          <w:color w:val="auto"/>
          <w:lang w:eastAsia="en-GB"/>
        </w:rPr>
      </w:pPr>
      <w:r w:rsidRPr="00140B2F">
        <w:rPr>
          <w:rFonts w:eastAsia="Times New Roman" w:cs="Arial"/>
          <w:b/>
          <w:color w:val="auto"/>
          <w:lang w:eastAsia="en-GB"/>
        </w:rPr>
        <w:t>The Fund's approach to responsible investment</w:t>
      </w:r>
    </w:p>
    <w:p w:rsidR="00160C0D" w:rsidRPr="00127D40" w:rsidRDefault="00B82A13" w:rsidP="00160C0D">
      <w:pPr>
        <w:spacing w:after="0"/>
        <w:jc w:val="left"/>
        <w:rPr>
          <w:rFonts w:eastAsia="Times New Roman" w:cs="Arial"/>
          <w:color w:val="auto"/>
          <w:highlight w:val="green"/>
          <w:lang w:eastAsia="en-GB"/>
        </w:rPr>
      </w:pPr>
    </w:p>
    <w:p w:rsidR="00160C0D" w:rsidRPr="00140B2F" w:rsidRDefault="00B82A13" w:rsidP="00160C0D">
      <w:pPr>
        <w:spacing w:after="0"/>
        <w:jc w:val="left"/>
        <w:rPr>
          <w:rFonts w:eastAsia="Times New Roman" w:cs="Arial"/>
          <w:color w:val="auto"/>
          <w:lang w:eastAsia="en-GB"/>
        </w:rPr>
      </w:pPr>
      <w:r w:rsidRPr="00024098">
        <w:rPr>
          <w:rFonts w:eastAsia="Times New Roman" w:cs="Arial"/>
          <w:color w:val="auto"/>
          <w:lang w:eastAsia="en-GB"/>
        </w:rPr>
        <w:t>The Fund is a signatory to the UN-</w:t>
      </w:r>
      <w:r w:rsidRPr="00024098">
        <w:rPr>
          <w:rFonts w:eastAsia="Times New Roman" w:cs="Arial"/>
          <w:color w:val="auto"/>
          <w:lang w:eastAsia="en-GB"/>
        </w:rPr>
        <w:t>supported Principles</w:t>
      </w:r>
      <w:r w:rsidRPr="00024098">
        <w:rPr>
          <w:rFonts w:eastAsia="Times New Roman" w:cs="Arial"/>
          <w:color w:val="auto"/>
          <w:lang w:eastAsia="en-GB"/>
        </w:rPr>
        <w:t xml:space="preserve"> of Responsible Investment and </w:t>
      </w:r>
      <w:r w:rsidRPr="00024098">
        <w:rPr>
          <w:rFonts w:eastAsia="Times New Roman" w:cs="Arial"/>
          <w:color w:val="auto"/>
          <w:lang w:eastAsia="en-GB"/>
        </w:rPr>
        <w:t xml:space="preserve">is </w:t>
      </w:r>
      <w:r w:rsidRPr="00024098">
        <w:rPr>
          <w:rFonts w:eastAsia="Times New Roman" w:cs="Arial"/>
          <w:color w:val="auto"/>
          <w:lang w:eastAsia="en-GB"/>
        </w:rPr>
        <w:t xml:space="preserve">committed to developing </w:t>
      </w:r>
      <w:r w:rsidRPr="00024098">
        <w:rPr>
          <w:rFonts w:eastAsia="Times New Roman" w:cs="Arial"/>
          <w:color w:val="auto"/>
          <w:lang w:eastAsia="en-GB"/>
        </w:rPr>
        <w:t xml:space="preserve">an </w:t>
      </w:r>
      <w:r w:rsidRPr="00024098">
        <w:rPr>
          <w:rFonts w:eastAsia="Times New Roman" w:cs="Arial"/>
          <w:color w:val="auto"/>
          <w:lang w:eastAsia="en-GB"/>
        </w:rPr>
        <w:t xml:space="preserve">approach </w:t>
      </w:r>
      <w:r w:rsidRPr="00024098">
        <w:rPr>
          <w:rFonts w:eastAsia="Times New Roman" w:cs="Arial"/>
          <w:color w:val="auto"/>
          <w:lang w:eastAsia="en-GB"/>
        </w:rPr>
        <w:t>align</w:t>
      </w:r>
      <w:r w:rsidRPr="00024098">
        <w:rPr>
          <w:rFonts w:eastAsia="Times New Roman" w:cs="Arial"/>
          <w:color w:val="auto"/>
          <w:lang w:eastAsia="en-GB"/>
        </w:rPr>
        <w:t>ed</w:t>
      </w:r>
      <w:r w:rsidRPr="00024098">
        <w:rPr>
          <w:rFonts w:eastAsia="Times New Roman" w:cs="Arial"/>
          <w:color w:val="auto"/>
          <w:lang w:eastAsia="en-GB"/>
        </w:rPr>
        <w:t xml:space="preserve"> with </w:t>
      </w:r>
      <w:r w:rsidRPr="00024098">
        <w:rPr>
          <w:rFonts w:eastAsia="Times New Roman" w:cs="Arial"/>
          <w:color w:val="auto"/>
          <w:lang w:eastAsia="en-GB"/>
        </w:rPr>
        <w:t>fulfilling</w:t>
      </w:r>
      <w:r w:rsidRPr="00024098">
        <w:rPr>
          <w:rFonts w:eastAsia="Times New Roman" w:cs="Arial"/>
          <w:color w:val="auto"/>
          <w:lang w:eastAsia="en-GB"/>
        </w:rPr>
        <w:t xml:space="preserve"> the </w:t>
      </w:r>
      <w:r w:rsidRPr="00024098">
        <w:rPr>
          <w:rFonts w:eastAsia="Times New Roman" w:cs="Arial"/>
          <w:color w:val="auto"/>
          <w:lang w:eastAsia="en-GB"/>
        </w:rPr>
        <w:t xml:space="preserve">six </w:t>
      </w:r>
      <w:r w:rsidRPr="00024098">
        <w:rPr>
          <w:rFonts w:eastAsia="Times New Roman" w:cs="Arial"/>
          <w:color w:val="auto"/>
          <w:lang w:eastAsia="en-GB"/>
        </w:rPr>
        <w:t>principles. The</w:t>
      </w:r>
      <w:r w:rsidRPr="00140B2F">
        <w:rPr>
          <w:rFonts w:eastAsia="Times New Roman" w:cs="Arial"/>
          <w:color w:val="auto"/>
          <w:lang w:eastAsia="en-GB"/>
        </w:rPr>
        <w:t xml:space="preserve"> Fund’s approach to responsible investment divides into </w:t>
      </w:r>
      <w:r w:rsidRPr="00140B2F">
        <w:rPr>
          <w:rFonts w:eastAsia="Times New Roman" w:cs="Arial"/>
          <w:color w:val="auto"/>
          <w:lang w:eastAsia="en-GB"/>
        </w:rPr>
        <w:t xml:space="preserve">three </w:t>
      </w:r>
      <w:r w:rsidRPr="00140B2F">
        <w:rPr>
          <w:rFonts w:eastAsia="Times New Roman" w:cs="Arial"/>
          <w:color w:val="auto"/>
          <w:lang w:eastAsia="en-GB"/>
        </w:rPr>
        <w:t xml:space="preserve">areas of </w:t>
      </w:r>
      <w:r w:rsidRPr="00140B2F">
        <w:rPr>
          <w:rFonts w:eastAsia="Times New Roman" w:cs="Arial"/>
          <w:color w:val="auto"/>
          <w:lang w:eastAsia="en-GB"/>
        </w:rPr>
        <w:t>focus</w:t>
      </w:r>
      <w:r w:rsidRPr="00140B2F">
        <w:rPr>
          <w:rFonts w:eastAsia="Times New Roman" w:cs="Arial"/>
          <w:color w:val="auto"/>
          <w:lang w:eastAsia="en-GB"/>
        </w:rPr>
        <w:t>.</w:t>
      </w:r>
    </w:p>
    <w:p w:rsidR="00160C0D" w:rsidRPr="00140B2F" w:rsidRDefault="00B82A13" w:rsidP="00160C0D">
      <w:pPr>
        <w:spacing w:after="0"/>
        <w:jc w:val="left"/>
        <w:rPr>
          <w:rFonts w:eastAsia="Times New Roman" w:cs="Arial"/>
          <w:color w:val="auto"/>
          <w:lang w:eastAsia="en-GB"/>
        </w:rPr>
      </w:pPr>
    </w:p>
    <w:p w:rsidR="00160C0D" w:rsidRPr="00140B2F" w:rsidRDefault="00B82A13" w:rsidP="00160C0D">
      <w:pPr>
        <w:spacing w:after="0"/>
        <w:jc w:val="left"/>
        <w:rPr>
          <w:rFonts w:eastAsia="Times New Roman" w:cs="Arial"/>
          <w:i/>
          <w:color w:val="auto"/>
          <w:lang w:eastAsia="en-GB"/>
        </w:rPr>
      </w:pPr>
      <w:r w:rsidRPr="00140B2F">
        <w:rPr>
          <w:rFonts w:eastAsia="Times New Roman" w:cs="Arial"/>
          <w:i/>
          <w:color w:val="auto"/>
          <w:lang w:eastAsia="en-GB"/>
        </w:rPr>
        <w:t>a) Voting Globally</w:t>
      </w:r>
    </w:p>
    <w:p w:rsidR="001A5613" w:rsidRPr="00140B2F" w:rsidRDefault="00B82A13" w:rsidP="00160C0D">
      <w:pPr>
        <w:spacing w:after="0"/>
        <w:jc w:val="left"/>
        <w:rPr>
          <w:rFonts w:eastAsia="Times New Roman" w:cs="Arial"/>
          <w:color w:val="auto"/>
          <w:lang w:eastAsia="en-GB"/>
        </w:rPr>
      </w:pPr>
    </w:p>
    <w:p w:rsidR="00160C0D" w:rsidRPr="00140B2F" w:rsidRDefault="00B82A13" w:rsidP="00160C0D">
      <w:pPr>
        <w:spacing w:after="0"/>
        <w:jc w:val="left"/>
        <w:rPr>
          <w:rFonts w:eastAsia="Times New Roman" w:cs="Arial"/>
          <w:color w:val="auto"/>
          <w:lang w:eastAsia="en-GB"/>
        </w:rPr>
      </w:pPr>
      <w:r w:rsidRPr="00140B2F">
        <w:rPr>
          <w:rFonts w:eastAsia="Times New Roman" w:cs="Arial"/>
          <w:color w:val="auto"/>
          <w:lang w:eastAsia="en-GB"/>
        </w:rPr>
        <w:t>The first approach, voting, is certainly not a ‘boxticking’ exercise, as the Fund regularly votes against reso</w:t>
      </w:r>
      <w:r w:rsidRPr="00140B2F">
        <w:rPr>
          <w:rFonts w:eastAsia="Times New Roman" w:cs="Arial"/>
          <w:color w:val="auto"/>
          <w:lang w:eastAsia="en-GB"/>
        </w:rPr>
        <w:t xml:space="preserve">lutions. The Fund, through a proactive voting policy, in partnership with </w:t>
      </w:r>
      <w:r w:rsidRPr="00140B2F">
        <w:rPr>
          <w:rFonts w:eastAsia="Times New Roman" w:cs="Arial"/>
          <w:color w:val="auto"/>
          <w:lang w:eastAsia="en-GB"/>
        </w:rPr>
        <w:t>proxy voting consultants</w:t>
      </w:r>
      <w:r w:rsidRPr="00140B2F">
        <w:rPr>
          <w:rFonts w:eastAsia="Times New Roman" w:cs="Arial"/>
          <w:color w:val="auto"/>
          <w:lang w:eastAsia="en-GB"/>
        </w:rPr>
        <w:t>, votes its share rights constructively based upon a comprehensive analysis of company voting issues.</w:t>
      </w:r>
    </w:p>
    <w:p w:rsidR="00160C0D" w:rsidRPr="00140B2F" w:rsidRDefault="00B82A13" w:rsidP="00160C0D">
      <w:pPr>
        <w:spacing w:after="0"/>
        <w:jc w:val="left"/>
        <w:rPr>
          <w:rFonts w:eastAsia="Times New Roman" w:cs="Arial"/>
          <w:color w:val="auto"/>
          <w:lang w:eastAsia="en-GB"/>
        </w:rPr>
      </w:pPr>
    </w:p>
    <w:p w:rsidR="00160C0D" w:rsidRPr="00140B2F" w:rsidRDefault="00B82A13" w:rsidP="00160C0D">
      <w:pPr>
        <w:autoSpaceDE/>
        <w:autoSpaceDN/>
        <w:adjustRightInd/>
        <w:spacing w:after="0"/>
        <w:jc w:val="left"/>
        <w:rPr>
          <w:rFonts w:eastAsia="Times New Roman" w:cs="Arial"/>
          <w:color w:val="auto"/>
          <w:lang w:eastAsia="en-GB"/>
        </w:rPr>
      </w:pPr>
      <w:r w:rsidRPr="00140B2F">
        <w:rPr>
          <w:rFonts w:eastAsia="Times New Roman" w:cs="Arial"/>
          <w:color w:val="auto"/>
          <w:lang w:eastAsia="en-GB"/>
        </w:rPr>
        <w:t xml:space="preserve">Votes are cast in accordance with the proxy voting </w:t>
      </w:r>
      <w:r w:rsidRPr="00140B2F">
        <w:rPr>
          <w:rFonts w:eastAsia="Times New Roman" w:cs="Arial"/>
          <w:color w:val="auto"/>
          <w:lang w:eastAsia="en-GB"/>
        </w:rPr>
        <w:t>consultant's</w:t>
      </w:r>
      <w:r w:rsidRPr="00140B2F">
        <w:rPr>
          <w:rFonts w:eastAsia="Times New Roman" w:cs="Arial"/>
          <w:color w:val="auto"/>
          <w:lang w:eastAsia="en-GB"/>
        </w:rPr>
        <w:t xml:space="preserve"> guidelines unless an Investment Manager requests a different vote for investment management reasons.  </w:t>
      </w:r>
    </w:p>
    <w:p w:rsidR="00160C0D" w:rsidRPr="00127D40" w:rsidRDefault="00B82A13" w:rsidP="00160C0D">
      <w:pPr>
        <w:spacing w:after="0"/>
        <w:jc w:val="left"/>
        <w:rPr>
          <w:rFonts w:eastAsia="Times New Roman" w:cs="Arial"/>
          <w:color w:val="auto"/>
          <w:highlight w:val="green"/>
          <w:lang w:eastAsia="en-GB"/>
        </w:rPr>
      </w:pPr>
    </w:p>
    <w:p w:rsidR="001A5613" w:rsidRPr="00127D40" w:rsidRDefault="00B82A13" w:rsidP="00160C0D">
      <w:pPr>
        <w:spacing w:after="0"/>
        <w:jc w:val="left"/>
        <w:rPr>
          <w:rFonts w:eastAsia="Times New Roman" w:cs="Arial"/>
          <w:color w:val="auto"/>
          <w:highlight w:val="green"/>
          <w:lang w:eastAsia="en-GB"/>
        </w:rPr>
      </w:pPr>
    </w:p>
    <w:p w:rsidR="00160C0D" w:rsidRPr="00140B2F" w:rsidRDefault="00B82A13" w:rsidP="00160C0D">
      <w:pPr>
        <w:spacing w:after="0"/>
        <w:jc w:val="left"/>
        <w:rPr>
          <w:rFonts w:eastAsia="Times New Roman" w:cs="Arial"/>
          <w:i/>
          <w:color w:val="auto"/>
          <w:lang w:eastAsia="en-GB"/>
        </w:rPr>
      </w:pPr>
      <w:r w:rsidRPr="00140B2F">
        <w:rPr>
          <w:rFonts w:eastAsia="Times New Roman" w:cs="Arial"/>
          <w:i/>
          <w:color w:val="auto"/>
          <w:lang w:eastAsia="en-GB"/>
        </w:rPr>
        <w:t>b) Engagement through Partnerships</w:t>
      </w:r>
    </w:p>
    <w:p w:rsidR="001A5613" w:rsidRPr="00140B2F" w:rsidRDefault="00B82A13" w:rsidP="00160C0D">
      <w:pPr>
        <w:spacing w:after="0"/>
        <w:jc w:val="left"/>
        <w:rPr>
          <w:rFonts w:eastAsia="Times New Roman" w:cs="Arial"/>
          <w:color w:val="auto"/>
          <w:lang w:eastAsia="en-GB"/>
        </w:rPr>
      </w:pPr>
    </w:p>
    <w:p w:rsidR="00160C0D" w:rsidRPr="00140B2F" w:rsidRDefault="00B82A13" w:rsidP="00160C0D">
      <w:pPr>
        <w:spacing w:after="0"/>
        <w:jc w:val="left"/>
        <w:rPr>
          <w:rFonts w:eastAsia="Times New Roman" w:cs="Arial"/>
          <w:color w:val="auto"/>
          <w:lang w:eastAsia="en-GB"/>
        </w:rPr>
      </w:pPr>
      <w:r w:rsidRPr="00140B2F">
        <w:rPr>
          <w:rFonts w:eastAsia="Times New Roman" w:cs="Arial"/>
          <w:color w:val="auto"/>
          <w:lang w:eastAsia="en-GB"/>
        </w:rPr>
        <w:t xml:space="preserve">The Fund’s second approach involves working in partnership with like-minded bodies. The Fund </w:t>
      </w:r>
      <w:r w:rsidRPr="00140B2F">
        <w:rPr>
          <w:rFonts w:eastAsia="Times New Roman" w:cs="Arial"/>
          <w:color w:val="auto"/>
          <w:lang w:eastAsia="en-GB"/>
        </w:rPr>
        <w:t>recognises that to gain the attention of companies in addressing governance concerns, it needs to join other investors with similar concerns. It does this through:</w:t>
      </w:r>
    </w:p>
    <w:p w:rsidR="00160C0D" w:rsidRPr="00140B2F" w:rsidRDefault="00B82A13" w:rsidP="00160C0D">
      <w:pPr>
        <w:numPr>
          <w:ilvl w:val="0"/>
          <w:numId w:val="20"/>
        </w:numPr>
        <w:autoSpaceDE/>
        <w:autoSpaceDN/>
        <w:adjustRightInd/>
        <w:spacing w:after="0"/>
        <w:jc w:val="left"/>
        <w:rPr>
          <w:rFonts w:eastAsia="Times New Roman" w:cs="Arial"/>
          <w:color w:val="auto"/>
          <w:lang w:eastAsia="en-GB"/>
        </w:rPr>
      </w:pPr>
      <w:r w:rsidRPr="00140B2F">
        <w:rPr>
          <w:rFonts w:eastAsia="Times New Roman" w:cs="Arial"/>
          <w:color w:val="auto"/>
          <w:lang w:eastAsia="en-GB"/>
        </w:rPr>
        <w:t>Local Authority Pension Fund Forum (LAPFF);</w:t>
      </w:r>
    </w:p>
    <w:p w:rsidR="00160C0D" w:rsidRPr="00140B2F" w:rsidRDefault="00B82A13" w:rsidP="00160C0D">
      <w:pPr>
        <w:numPr>
          <w:ilvl w:val="0"/>
          <w:numId w:val="20"/>
        </w:numPr>
        <w:autoSpaceDE/>
        <w:autoSpaceDN/>
        <w:adjustRightInd/>
        <w:spacing w:after="0"/>
        <w:jc w:val="left"/>
        <w:rPr>
          <w:rFonts w:eastAsia="Times New Roman" w:cs="Arial"/>
          <w:color w:val="auto"/>
          <w:lang w:eastAsia="en-GB"/>
        </w:rPr>
      </w:pPr>
      <w:r w:rsidRPr="00140B2F">
        <w:rPr>
          <w:rFonts w:eastAsia="Times New Roman" w:cs="Arial"/>
          <w:color w:val="auto"/>
          <w:lang w:eastAsia="en-GB"/>
        </w:rPr>
        <w:t>Voting on shareholder resolutions;</w:t>
      </w:r>
    </w:p>
    <w:p w:rsidR="00160C0D" w:rsidRPr="00140B2F" w:rsidRDefault="00B82A13" w:rsidP="00160C0D">
      <w:pPr>
        <w:numPr>
          <w:ilvl w:val="0"/>
          <w:numId w:val="20"/>
        </w:numPr>
        <w:autoSpaceDE/>
        <w:autoSpaceDN/>
        <w:adjustRightInd/>
        <w:spacing w:after="0"/>
        <w:jc w:val="left"/>
        <w:rPr>
          <w:rFonts w:eastAsia="Times New Roman" w:cs="Arial"/>
          <w:color w:val="auto"/>
          <w:lang w:eastAsia="en-GB"/>
        </w:rPr>
      </w:pPr>
      <w:r w:rsidRPr="00140B2F">
        <w:rPr>
          <w:rFonts w:eastAsia="Times New Roman" w:cs="Arial"/>
          <w:color w:val="auto"/>
          <w:lang w:eastAsia="en-GB"/>
        </w:rPr>
        <w:t>Joining appro</w:t>
      </w:r>
      <w:r w:rsidRPr="00140B2F">
        <w:rPr>
          <w:rFonts w:eastAsia="Times New Roman" w:cs="Arial"/>
          <w:color w:val="auto"/>
          <w:lang w:eastAsia="en-GB"/>
        </w:rPr>
        <w:t>priate lobbying activities.</w:t>
      </w:r>
    </w:p>
    <w:p w:rsidR="00160C0D" w:rsidRPr="00140B2F" w:rsidRDefault="00B82A13" w:rsidP="00160C0D">
      <w:pPr>
        <w:spacing w:after="0"/>
        <w:jc w:val="left"/>
        <w:rPr>
          <w:rFonts w:eastAsia="Times New Roman" w:cs="Arial"/>
          <w:color w:val="auto"/>
          <w:lang w:eastAsia="en-GB"/>
        </w:rPr>
      </w:pPr>
    </w:p>
    <w:p w:rsidR="00160C0D" w:rsidRPr="00127D40" w:rsidRDefault="00B82A13" w:rsidP="00160C0D">
      <w:pPr>
        <w:spacing w:after="0"/>
        <w:jc w:val="left"/>
        <w:rPr>
          <w:rFonts w:eastAsia="Times New Roman" w:cs="Arial"/>
          <w:color w:val="auto"/>
          <w:highlight w:val="green"/>
          <w:lang w:eastAsia="en-GB"/>
        </w:rPr>
      </w:pPr>
      <w:r w:rsidRPr="00140B2F">
        <w:rPr>
          <w:rFonts w:eastAsia="Times New Roman" w:cs="Arial"/>
          <w:color w:val="auto"/>
          <w:lang w:eastAsia="en-GB"/>
        </w:rPr>
        <w:t>In terms of its engagement approach with other investors, it is most significant through LAPFF. This Forum exists to promote the investment interests of local authority pension funds, and to maximise their influence as sharehol</w:t>
      </w:r>
      <w:r w:rsidRPr="00140B2F">
        <w:rPr>
          <w:rFonts w:eastAsia="Times New Roman" w:cs="Arial"/>
          <w:color w:val="auto"/>
          <w:lang w:eastAsia="en-GB"/>
        </w:rPr>
        <w:t>ders to promote corporate social responsibility and high standards of corporate governance among the companies in which they invest. See the LAPFF website for further details: www.lapfforum.org</w:t>
      </w:r>
    </w:p>
    <w:p w:rsidR="001A5613" w:rsidRPr="00127D40" w:rsidRDefault="00B82A13" w:rsidP="00160C0D">
      <w:pPr>
        <w:spacing w:after="0"/>
        <w:jc w:val="left"/>
        <w:rPr>
          <w:rFonts w:eastAsia="Times New Roman" w:cs="Arial"/>
          <w:color w:val="auto"/>
          <w:highlight w:val="green"/>
          <w:lang w:eastAsia="en-GB"/>
        </w:rPr>
      </w:pPr>
    </w:p>
    <w:p w:rsidR="00160C0D" w:rsidRPr="00140B2F" w:rsidRDefault="00B82A13" w:rsidP="00160C0D">
      <w:pPr>
        <w:spacing w:after="0"/>
        <w:jc w:val="left"/>
        <w:rPr>
          <w:rFonts w:eastAsia="Times New Roman" w:cs="Arial"/>
          <w:i/>
          <w:color w:val="auto"/>
          <w:lang w:eastAsia="en-GB"/>
        </w:rPr>
      </w:pPr>
      <w:r w:rsidRPr="00140B2F">
        <w:rPr>
          <w:rFonts w:eastAsia="Times New Roman" w:cs="Arial"/>
          <w:i/>
          <w:color w:val="auto"/>
          <w:lang w:eastAsia="en-GB"/>
        </w:rPr>
        <w:t>c) Shareholder Litigation</w:t>
      </w:r>
    </w:p>
    <w:p w:rsidR="001A5613" w:rsidRPr="00140B2F" w:rsidRDefault="00B82A13" w:rsidP="00160C0D">
      <w:pPr>
        <w:spacing w:after="0"/>
        <w:jc w:val="left"/>
        <w:rPr>
          <w:rFonts w:eastAsia="Times New Roman" w:cs="Arial"/>
          <w:color w:val="auto"/>
          <w:lang w:eastAsia="en-GB"/>
        </w:rPr>
      </w:pPr>
    </w:p>
    <w:p w:rsidR="00160C0D" w:rsidRPr="00140B2F" w:rsidRDefault="00B82A13" w:rsidP="00160C0D">
      <w:pPr>
        <w:spacing w:after="0"/>
        <w:jc w:val="left"/>
        <w:rPr>
          <w:rFonts w:eastAsia="Times New Roman" w:cs="Arial"/>
          <w:color w:val="auto"/>
          <w:lang w:eastAsia="en-GB"/>
        </w:rPr>
      </w:pPr>
      <w:r w:rsidRPr="00140B2F">
        <w:rPr>
          <w:rFonts w:eastAsia="Times New Roman" w:cs="Arial"/>
          <w:color w:val="auto"/>
          <w:lang w:eastAsia="en-GB"/>
        </w:rPr>
        <w:t>The third approach, adopted by the</w:t>
      </w:r>
      <w:r w:rsidRPr="00140B2F">
        <w:rPr>
          <w:rFonts w:eastAsia="Times New Roman" w:cs="Arial"/>
          <w:color w:val="auto"/>
          <w:lang w:eastAsia="en-GB"/>
        </w:rPr>
        <w:t xml:space="preserve"> Fund in order to encourage corporate management to behave responsibly and honestly, is through shareholder litigation. The Fund, in partnership with two US law firms and other shareholders, submits class actions globally where possible and where appropria</w:t>
      </w:r>
      <w:r w:rsidRPr="00140B2F">
        <w:rPr>
          <w:rFonts w:eastAsia="Times New Roman" w:cs="Arial"/>
          <w:color w:val="auto"/>
          <w:lang w:eastAsia="en-GB"/>
        </w:rPr>
        <w:t>te.</w:t>
      </w:r>
    </w:p>
    <w:p w:rsidR="00160C0D" w:rsidRPr="00127D40" w:rsidRDefault="00B82A13" w:rsidP="00160C0D">
      <w:pPr>
        <w:spacing w:after="0"/>
        <w:jc w:val="left"/>
        <w:rPr>
          <w:rFonts w:eastAsia="Times New Roman" w:cs="Arial"/>
          <w:color w:val="auto"/>
          <w:highlight w:val="green"/>
          <w:lang w:eastAsia="en-GB"/>
        </w:rPr>
      </w:pPr>
    </w:p>
    <w:p w:rsidR="001A5613" w:rsidRPr="00127D40" w:rsidRDefault="00B82A13" w:rsidP="00160C0D">
      <w:pPr>
        <w:spacing w:after="0"/>
        <w:jc w:val="left"/>
        <w:rPr>
          <w:rFonts w:eastAsia="Times New Roman" w:cs="Arial"/>
          <w:color w:val="auto"/>
          <w:highlight w:val="green"/>
          <w:lang w:eastAsia="en-GB"/>
        </w:rPr>
      </w:pPr>
    </w:p>
    <w:p w:rsidR="00F4100A" w:rsidRDefault="00B82A13" w:rsidP="00160C0D">
      <w:pPr>
        <w:spacing w:after="0"/>
        <w:jc w:val="left"/>
        <w:rPr>
          <w:rFonts w:eastAsia="Times New Roman" w:cs="Arial"/>
          <w:color w:val="auto"/>
          <w:lang w:eastAsia="en-GB"/>
        </w:rPr>
      </w:pPr>
    </w:p>
    <w:p w:rsidR="00F4100A" w:rsidRDefault="00B82A13" w:rsidP="00160C0D">
      <w:pPr>
        <w:spacing w:after="0"/>
        <w:jc w:val="left"/>
        <w:rPr>
          <w:rFonts w:eastAsia="Times New Roman" w:cs="Arial"/>
          <w:color w:val="auto"/>
          <w:lang w:eastAsia="en-GB"/>
        </w:rPr>
      </w:pPr>
    </w:p>
    <w:p w:rsidR="00140B2F" w:rsidRDefault="00B82A13" w:rsidP="00160C0D">
      <w:pPr>
        <w:spacing w:after="0"/>
        <w:jc w:val="left"/>
        <w:rPr>
          <w:rFonts w:eastAsia="Times New Roman" w:cs="Arial"/>
          <w:color w:val="auto"/>
          <w:lang w:eastAsia="en-GB"/>
        </w:rPr>
      </w:pPr>
    </w:p>
    <w:p w:rsidR="00F4100A" w:rsidRPr="00716C6E" w:rsidRDefault="00B82A13" w:rsidP="00160C0D">
      <w:pPr>
        <w:spacing w:after="0"/>
        <w:jc w:val="left"/>
        <w:rPr>
          <w:rFonts w:eastAsia="Times New Roman" w:cs="Arial"/>
          <w:color w:val="auto"/>
          <w:lang w:eastAsia="en-GB"/>
        </w:rPr>
      </w:pPr>
    </w:p>
    <w:p w:rsidR="00334FD0" w:rsidRPr="000811A1" w:rsidRDefault="00B82A13" w:rsidP="0042413E">
      <w:pPr>
        <w:pStyle w:val="Heading4"/>
        <w:jc w:val="both"/>
        <w:rPr>
          <w:sz w:val="24"/>
          <w:szCs w:val="24"/>
        </w:rPr>
      </w:pPr>
      <w:r w:rsidRPr="000811A1">
        <w:rPr>
          <w:sz w:val="24"/>
          <w:szCs w:val="24"/>
        </w:rPr>
        <w:t>Principles of Investment Practice</w:t>
      </w:r>
    </w:p>
    <w:p w:rsidR="00334FD0" w:rsidRPr="00FF5267" w:rsidRDefault="00B82A13" w:rsidP="00645917">
      <w:pPr>
        <w:spacing w:before="240"/>
      </w:pPr>
      <w:r>
        <w:rPr>
          <w:rFonts w:cs="Arial"/>
        </w:rPr>
        <w:t xml:space="preserve">The Fund's compliance with the six principles of investment practice laid out in Local Government </w:t>
      </w:r>
      <w:r w:rsidRPr="00BC6CA1">
        <w:rPr>
          <w:rFonts w:cs="Arial"/>
          <w:b/>
        </w:rPr>
        <w:t>Pension</w:t>
      </w:r>
      <w:r>
        <w:rPr>
          <w:rFonts w:cs="Arial"/>
        </w:rPr>
        <w:t xml:space="preserve"> Scheme (Management and Investment of funds) regulations 2009 is described below:</w:t>
      </w:r>
    </w:p>
    <w:p w:rsidR="00334FD0" w:rsidRPr="000811A1" w:rsidRDefault="00B82A13" w:rsidP="0042413E">
      <w:pPr>
        <w:pStyle w:val="Heading4"/>
        <w:numPr>
          <w:ilvl w:val="0"/>
          <w:numId w:val="0"/>
        </w:numPr>
        <w:ind w:left="360" w:hanging="360"/>
        <w:jc w:val="both"/>
        <w:rPr>
          <w:sz w:val="24"/>
          <w:szCs w:val="24"/>
        </w:rPr>
      </w:pPr>
      <w:r w:rsidRPr="000811A1">
        <w:rPr>
          <w:sz w:val="24"/>
          <w:szCs w:val="24"/>
        </w:rPr>
        <w:t xml:space="preserve">Principle 1: Effective </w:t>
      </w:r>
      <w:r w:rsidRPr="000811A1">
        <w:rPr>
          <w:sz w:val="24"/>
          <w:szCs w:val="24"/>
        </w:rPr>
        <w:t>Decision Making</w:t>
      </w:r>
    </w:p>
    <w:p w:rsidR="00334FD0" w:rsidRPr="00FF5267" w:rsidRDefault="00B82A13" w:rsidP="0042413E">
      <w:r w:rsidRPr="009541F2">
        <w:rPr>
          <w:rFonts w:cs="Arial"/>
          <w:b/>
        </w:rPr>
        <w:t>Fully compliant</w:t>
      </w:r>
      <w:r w:rsidRPr="00FF5267">
        <w:rPr>
          <w:rFonts w:cs="Arial"/>
        </w:rPr>
        <w:t>: The decision making process is fully outlined in the Governance Policy Statement, Governance Compliance Statement and Statement of Investment</w:t>
      </w:r>
      <w:r w:rsidRPr="00FF5267">
        <w:rPr>
          <w:rFonts w:cs="Arial"/>
          <w:color w:val="0000FF"/>
        </w:rPr>
        <w:t xml:space="preserve"> </w:t>
      </w:r>
      <w:r w:rsidRPr="00FF5267">
        <w:rPr>
          <w:rFonts w:cs="Arial"/>
        </w:rPr>
        <w:t xml:space="preserve">Principles. </w:t>
      </w:r>
    </w:p>
    <w:p w:rsidR="00334FD0" w:rsidRPr="000811A1" w:rsidRDefault="00B82A13" w:rsidP="0042413E">
      <w:pPr>
        <w:pStyle w:val="Heading4"/>
        <w:numPr>
          <w:ilvl w:val="0"/>
          <w:numId w:val="0"/>
        </w:numPr>
        <w:ind w:left="360" w:hanging="360"/>
        <w:jc w:val="both"/>
        <w:rPr>
          <w:sz w:val="24"/>
          <w:szCs w:val="24"/>
        </w:rPr>
      </w:pPr>
      <w:r w:rsidRPr="000811A1">
        <w:rPr>
          <w:sz w:val="24"/>
          <w:szCs w:val="24"/>
        </w:rPr>
        <w:t>Principle 2: Clear Objectives</w:t>
      </w:r>
    </w:p>
    <w:p w:rsidR="00334FD0" w:rsidRPr="00FF5267" w:rsidRDefault="00B82A13" w:rsidP="0042413E">
      <w:r w:rsidRPr="009541F2">
        <w:rPr>
          <w:rFonts w:cs="Arial"/>
          <w:b/>
        </w:rPr>
        <w:t>Fully compliant</w:t>
      </w:r>
      <w:r w:rsidRPr="00FF5267">
        <w:rPr>
          <w:rFonts w:cs="Arial"/>
        </w:rPr>
        <w:t>: The overall objective</w:t>
      </w:r>
      <w:r w:rsidRPr="00FF5267">
        <w:rPr>
          <w:rFonts w:cs="Arial"/>
        </w:rPr>
        <w:t xml:space="preserve"> for the Fund is outlined in the Statement of Investment Principles.  </w:t>
      </w:r>
      <w:r>
        <w:rPr>
          <w:rFonts w:cs="Arial"/>
        </w:rPr>
        <w:t>The Investment Panel sets benchmarks for measuring the performance of each investment and an overall benchmark for the Fund as a whole in order to monitor the attainment of the objective</w:t>
      </w:r>
      <w:r>
        <w:rPr>
          <w:rFonts w:cs="Arial"/>
        </w:rPr>
        <w:t xml:space="preserve">s. </w:t>
      </w:r>
    </w:p>
    <w:p w:rsidR="00334FD0" w:rsidRPr="000811A1" w:rsidRDefault="00B82A13" w:rsidP="0042413E">
      <w:pPr>
        <w:pStyle w:val="Heading4"/>
        <w:numPr>
          <w:ilvl w:val="0"/>
          <w:numId w:val="0"/>
        </w:numPr>
        <w:ind w:left="360" w:hanging="360"/>
        <w:jc w:val="both"/>
        <w:rPr>
          <w:sz w:val="24"/>
          <w:szCs w:val="24"/>
        </w:rPr>
      </w:pPr>
      <w:r w:rsidRPr="000811A1">
        <w:rPr>
          <w:sz w:val="24"/>
          <w:szCs w:val="24"/>
        </w:rPr>
        <w:t>Principle 3: Risk and liabilities</w:t>
      </w:r>
    </w:p>
    <w:p w:rsidR="00334FD0" w:rsidRDefault="00B82A13" w:rsidP="0042413E">
      <w:pPr>
        <w:rPr>
          <w:rFonts w:cs="Arial"/>
        </w:rPr>
      </w:pPr>
      <w:r w:rsidRPr="009541F2">
        <w:rPr>
          <w:rFonts w:cs="Arial"/>
          <w:b/>
        </w:rPr>
        <w:t>Fully compliant</w:t>
      </w:r>
      <w:r w:rsidRPr="00FF5267">
        <w:rPr>
          <w:rFonts w:cs="Arial"/>
        </w:rPr>
        <w:t>: The Investment Panel and Pension Fund Committee have considered the appropriate assets for the Fund following Asset/</w:t>
      </w:r>
      <w:r>
        <w:rPr>
          <w:rFonts w:cs="Arial"/>
        </w:rPr>
        <w:t xml:space="preserve"> </w:t>
      </w:r>
      <w:r w:rsidRPr="00FF5267">
        <w:rPr>
          <w:rFonts w:cs="Arial"/>
        </w:rPr>
        <w:t>Liability studies</w:t>
      </w:r>
      <w:r>
        <w:rPr>
          <w:rFonts w:cs="Arial"/>
        </w:rPr>
        <w:t xml:space="preserve"> and decided upon an investment strategy involving a diversificatio</w:t>
      </w:r>
      <w:r>
        <w:rPr>
          <w:rFonts w:cs="Arial"/>
        </w:rPr>
        <w:t xml:space="preserve">n of investments amongst equities, property and investments offering the prospect of acceptable returns with lower volatility. </w:t>
      </w:r>
    </w:p>
    <w:p w:rsidR="00334FD0" w:rsidRPr="000811A1" w:rsidRDefault="00B82A13" w:rsidP="0042413E">
      <w:pPr>
        <w:pStyle w:val="Heading4"/>
        <w:numPr>
          <w:ilvl w:val="0"/>
          <w:numId w:val="0"/>
        </w:numPr>
        <w:ind w:left="360" w:hanging="360"/>
        <w:jc w:val="both"/>
        <w:rPr>
          <w:sz w:val="24"/>
          <w:szCs w:val="24"/>
        </w:rPr>
      </w:pPr>
      <w:r w:rsidRPr="000811A1">
        <w:rPr>
          <w:sz w:val="24"/>
          <w:szCs w:val="24"/>
        </w:rPr>
        <w:t>Principle 4: Performance assessment</w:t>
      </w:r>
    </w:p>
    <w:p w:rsidR="00334FD0" w:rsidRPr="00FF5267" w:rsidRDefault="00B82A13" w:rsidP="0042413E">
      <w:r w:rsidRPr="009541F2">
        <w:rPr>
          <w:rFonts w:cs="Arial"/>
          <w:b/>
        </w:rPr>
        <w:t>Fully compliant</w:t>
      </w:r>
      <w:r>
        <w:rPr>
          <w:rFonts w:cs="Arial"/>
        </w:rPr>
        <w:t>:</w:t>
      </w:r>
      <w:r>
        <w:rPr>
          <w:rFonts w:cs="Arial"/>
        </w:rPr>
        <w:t xml:space="preserve"> Investment performance reports are produced by the Custodian monthly for co</w:t>
      </w:r>
      <w:r>
        <w:rPr>
          <w:rFonts w:cs="Arial"/>
        </w:rPr>
        <w:t>nsideration by the Investment Panel and the Pension Fund Committee.</w:t>
      </w:r>
      <w:r>
        <w:rPr>
          <w:rFonts w:cs="Arial"/>
        </w:rPr>
        <w:t>.</w:t>
      </w:r>
    </w:p>
    <w:p w:rsidR="00334FD0" w:rsidRPr="000811A1" w:rsidRDefault="00B82A13" w:rsidP="0042413E">
      <w:pPr>
        <w:pStyle w:val="Heading4"/>
        <w:numPr>
          <w:ilvl w:val="0"/>
          <w:numId w:val="0"/>
        </w:numPr>
        <w:ind w:left="360" w:hanging="360"/>
        <w:jc w:val="both"/>
        <w:rPr>
          <w:sz w:val="24"/>
          <w:szCs w:val="24"/>
        </w:rPr>
      </w:pPr>
      <w:r w:rsidRPr="000811A1">
        <w:rPr>
          <w:sz w:val="24"/>
          <w:szCs w:val="24"/>
        </w:rPr>
        <w:t>Principle 5: Responsible ownership</w:t>
      </w:r>
    </w:p>
    <w:p w:rsidR="00334FD0" w:rsidRDefault="00B82A13" w:rsidP="0042413E">
      <w:r w:rsidRPr="009541F2">
        <w:rPr>
          <w:rFonts w:cs="Arial"/>
          <w:b/>
        </w:rPr>
        <w:t>Fully compliant</w:t>
      </w:r>
      <w:r w:rsidRPr="00843A78">
        <w:rPr>
          <w:rFonts w:cs="Arial"/>
        </w:rPr>
        <w:t>: PIRC has been appointed the Fund's proxy to vote the Fund's shares at shareholder meetings.  PIRC votes in accordance with its voting g</w:t>
      </w:r>
      <w:r w:rsidRPr="00843A78">
        <w:rPr>
          <w:rFonts w:cs="Arial"/>
        </w:rPr>
        <w:t>uidelines unless an Investment Manager requests differently, in which case the Treasurer to the Fund would decide how the vote should be cast in the best interests of the Fund.  The Fund is a member of the Local Authority Pension Fund Forum, which is prima</w:t>
      </w:r>
      <w:r w:rsidRPr="00843A78">
        <w:rPr>
          <w:rFonts w:cs="Arial"/>
        </w:rPr>
        <w:t xml:space="preserve">rily concerned with Corporate Governance issues and shareholder activism.  Voting action is monitored on a quarterly basis.  </w:t>
      </w:r>
    </w:p>
    <w:p w:rsidR="00334FD0" w:rsidRPr="000811A1" w:rsidRDefault="00B82A13" w:rsidP="0042413E">
      <w:pPr>
        <w:pStyle w:val="Heading4"/>
        <w:numPr>
          <w:ilvl w:val="0"/>
          <w:numId w:val="0"/>
        </w:numPr>
        <w:ind w:left="360" w:hanging="360"/>
        <w:jc w:val="both"/>
        <w:rPr>
          <w:sz w:val="24"/>
          <w:szCs w:val="24"/>
        </w:rPr>
      </w:pPr>
      <w:r w:rsidRPr="000811A1">
        <w:rPr>
          <w:sz w:val="24"/>
          <w:szCs w:val="24"/>
        </w:rPr>
        <w:t>Principle 6: Transparency and reporting</w:t>
      </w:r>
    </w:p>
    <w:p w:rsidR="00334FD0" w:rsidRPr="00FF5267" w:rsidRDefault="00B82A13" w:rsidP="0042413E">
      <w:r w:rsidRPr="009541F2">
        <w:rPr>
          <w:rFonts w:cs="Arial"/>
          <w:b/>
        </w:rPr>
        <w:t>Fully compliant</w:t>
      </w:r>
      <w:r w:rsidRPr="00FF5267">
        <w:rPr>
          <w:rFonts w:cs="Arial"/>
        </w:rPr>
        <w:t>: The Statement of Investment Principles outlines who is responsible for st</w:t>
      </w:r>
      <w:r w:rsidRPr="00FF5267">
        <w:rPr>
          <w:rFonts w:cs="Arial"/>
        </w:rPr>
        <w:t xml:space="preserve">rategic and asset allocation decisions for the Fund and the reasons behind this Structure.  It contains the current investment objective and details of the operational aspects of the Fund’s investments.  </w:t>
      </w:r>
    </w:p>
    <w:p w:rsidR="00334FD0" w:rsidRDefault="00B82A13" w:rsidP="0042413E">
      <w:pPr>
        <w:rPr>
          <w:rFonts w:cs="Arial"/>
        </w:rPr>
      </w:pPr>
      <w:r>
        <w:rPr>
          <w:rFonts w:cs="Arial"/>
        </w:rPr>
        <w:t xml:space="preserve">The Fund </w:t>
      </w:r>
      <w:r w:rsidRPr="00FF5267">
        <w:rPr>
          <w:rFonts w:cs="Arial"/>
        </w:rPr>
        <w:t>provides all of its Members with regular i</w:t>
      </w:r>
      <w:r w:rsidRPr="00FF5267">
        <w:rPr>
          <w:rFonts w:cs="Arial"/>
        </w:rPr>
        <w:t>nformation bulletins.</w:t>
      </w:r>
      <w:r>
        <w:rPr>
          <w:rFonts w:cs="Arial"/>
        </w:rPr>
        <w:t xml:space="preserve">  The Annual Report and the Fund's statutory statements are made available to all the Fund's employers and members through the web site www.yourpensionservice.org.uk. </w:t>
      </w:r>
    </w:p>
    <w:p w:rsidR="005602EE" w:rsidRPr="000D4BF2" w:rsidRDefault="00B82A13" w:rsidP="0042413E"/>
    <w:sectPr w:rsidR="005602EE" w:rsidRPr="000D4BF2" w:rsidSect="00BC6CA1">
      <w:headerReference w:type="default" r:id="rId15"/>
      <w:footerReference w:type="default" r:id="rId16"/>
      <w:type w:val="continuous"/>
      <w:pgSz w:w="11900" w:h="16840" w:code="9"/>
      <w:pgMar w:top="993" w:right="1440" w:bottom="851"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82A13">
      <w:pPr>
        <w:spacing w:after="0"/>
      </w:pPr>
      <w:r>
        <w:separator/>
      </w:r>
    </w:p>
  </w:endnote>
  <w:endnote w:type="continuationSeparator" w:id="0">
    <w:p w:rsidR="00000000" w:rsidRDefault="00B82A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6A6" w:rsidRDefault="00B82A13" w:rsidP="0003444C">
    <w:pPr>
      <w:pStyle w:val="Footer"/>
      <w:tabs>
        <w:tab w:val="right" w:pos="8931"/>
      </w:tabs>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9020"/>
    </w:tblGrid>
    <w:tr w:rsidR="00305F3D" w:rsidTr="00C74127">
      <w:trPr>
        <w:jc w:val="center"/>
      </w:trPr>
      <w:tc>
        <w:tcPr>
          <w:tcW w:w="5000" w:type="pct"/>
          <w:shd w:val="clear" w:color="auto" w:fill="BFBFBF"/>
        </w:tcPr>
        <w:p w:rsidR="001926A6" w:rsidRPr="008E5502" w:rsidRDefault="00B82A13" w:rsidP="00D22D61">
          <w:pPr>
            <w:pStyle w:val="Footer"/>
          </w:pPr>
          <w:r w:rsidRPr="008E5502">
            <w:t xml:space="preserve">• </w:t>
          </w:r>
          <w:r>
            <w:fldChar w:fldCharType="begin"/>
          </w:r>
          <w:r>
            <w:instrText xml:space="preserve"> PAGE   \* MERGEFORMAT </w:instrText>
          </w:r>
          <w:r>
            <w:fldChar w:fldCharType="separate"/>
          </w:r>
          <w:r>
            <w:rPr>
              <w:noProof/>
            </w:rPr>
            <w:t>6</w:t>
          </w:r>
          <w:r>
            <w:rPr>
              <w:noProof/>
            </w:rPr>
            <w:fldChar w:fldCharType="end"/>
          </w:r>
          <w:r w:rsidRPr="008E5502">
            <w:t xml:space="preserve"> •</w:t>
          </w:r>
        </w:p>
      </w:tc>
    </w:tr>
  </w:tbl>
  <w:p w:rsidR="001926A6" w:rsidRDefault="00B82A13" w:rsidP="008E5502">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82A13">
      <w:pPr>
        <w:spacing w:after="0"/>
      </w:pPr>
      <w:r>
        <w:separator/>
      </w:r>
    </w:p>
  </w:footnote>
  <w:footnote w:type="continuationSeparator" w:id="0">
    <w:p w:rsidR="00000000" w:rsidRDefault="00B82A1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6A6" w:rsidRDefault="00B82A13">
    <w:pPr>
      <w:pStyle w:val="Header"/>
    </w:pPr>
    <w:r>
      <w:rPr>
        <w:noProof/>
        <w:lang w:eastAsia="en-GB"/>
      </w:rPr>
      <w:drawing>
        <wp:anchor distT="0" distB="0" distL="114300" distR="114300" simplePos="0" relativeHeight="251659264" behindDoc="1" locked="0" layoutInCell="1" allowOverlap="1" wp14:anchorId="527416BA" wp14:editId="4A98BD54">
          <wp:simplePos x="0" y="0"/>
          <wp:positionH relativeFrom="page">
            <wp:align>left</wp:align>
          </wp:positionH>
          <wp:positionV relativeFrom="page">
            <wp:align>top</wp:align>
          </wp:positionV>
          <wp:extent cx="7565390" cy="106991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5390" cy="106991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6A6" w:rsidRPr="00D80389" w:rsidRDefault="00B82A13" w:rsidP="00D80389">
    <w:pPr>
      <w:pStyle w:val="Header"/>
      <w:jc w:val="right"/>
      <w:rPr>
        <w:b/>
      </w:rPr>
    </w:pPr>
    <w:r w:rsidRPr="00D80389">
      <w:rPr>
        <w:b/>
        <w:noProof/>
        <w:color w:val="auto"/>
        <w:lang w:eastAsia="en-GB"/>
      </w:rPr>
      <w:drawing>
        <wp:anchor distT="0" distB="0" distL="114300" distR="114300" simplePos="0" relativeHeight="251658240" behindDoc="1" locked="0" layoutInCell="1" allowOverlap="1" wp14:anchorId="60A41E99" wp14:editId="1336C0AE">
          <wp:simplePos x="0" y="0"/>
          <wp:positionH relativeFrom="column">
            <wp:posOffset>-457200</wp:posOffset>
          </wp:positionH>
          <wp:positionV relativeFrom="paragraph">
            <wp:posOffset>-474980</wp:posOffset>
          </wp:positionV>
          <wp:extent cx="7568565" cy="10704830"/>
          <wp:effectExtent l="0" t="0" r="0" b="127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8565" cy="1070483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6A6" w:rsidRDefault="00B82A13">
    <w:pPr>
      <w:pStyle w:val="Header"/>
    </w:pPr>
    <w:r>
      <w:rPr>
        <w:noProof/>
        <w:lang w:eastAsia="en-GB"/>
      </w:rPr>
      <w:drawing>
        <wp:anchor distT="0" distB="0" distL="114300" distR="114300" simplePos="0" relativeHeight="251660288" behindDoc="1" locked="0" layoutInCell="1" allowOverlap="1" wp14:anchorId="368A98AC" wp14:editId="7E0FC091">
          <wp:simplePos x="0" y="0"/>
          <wp:positionH relativeFrom="page">
            <wp:align>left</wp:align>
          </wp:positionH>
          <wp:positionV relativeFrom="page">
            <wp:align>top</wp:align>
          </wp:positionV>
          <wp:extent cx="7565390" cy="10699115"/>
          <wp:effectExtent l="0" t="0" r="0" b="698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5390" cy="10699115"/>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D31145"/>
      <w:tblLook w:val="04A0" w:firstRow="1" w:lastRow="0" w:firstColumn="1" w:lastColumn="0" w:noHBand="0" w:noVBand="1"/>
    </w:tblPr>
    <w:tblGrid>
      <w:gridCol w:w="9020"/>
    </w:tblGrid>
    <w:tr w:rsidR="00305F3D" w:rsidTr="00C74127">
      <w:trPr>
        <w:jc w:val="center"/>
      </w:trPr>
      <w:tc>
        <w:tcPr>
          <w:tcW w:w="5000" w:type="pct"/>
          <w:shd w:val="clear" w:color="auto" w:fill="D31145"/>
        </w:tcPr>
        <w:p w:rsidR="001926A6" w:rsidRPr="00C74127" w:rsidRDefault="00B82A13" w:rsidP="000C6772">
          <w:pPr>
            <w:pStyle w:val="Header"/>
          </w:pPr>
          <w:r>
            <w:t>Statement of Investment Principles</w:t>
          </w:r>
        </w:p>
      </w:tc>
    </w:tr>
  </w:tbl>
  <w:p w:rsidR="001926A6" w:rsidRDefault="00B82A13" w:rsidP="008E5502">
    <w:pPr>
      <w:pStyle w:val="ancho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76C4"/>
    <w:multiLevelType w:val="hybridMultilevel"/>
    <w:tmpl w:val="3E28F658"/>
    <w:lvl w:ilvl="0" w:tplc="529E04D0">
      <w:start w:val="1"/>
      <w:numFmt w:val="upperLetter"/>
      <w:lvlText w:val="%1."/>
      <w:lvlJc w:val="left"/>
      <w:pPr>
        <w:ind w:left="720" w:hanging="360"/>
      </w:pPr>
      <w:rPr>
        <w:rFonts w:hint="default"/>
      </w:rPr>
    </w:lvl>
    <w:lvl w:ilvl="1" w:tplc="12D602CC" w:tentative="1">
      <w:start w:val="1"/>
      <w:numFmt w:val="lowerLetter"/>
      <w:lvlText w:val="%2."/>
      <w:lvlJc w:val="left"/>
      <w:pPr>
        <w:ind w:left="1440" w:hanging="360"/>
      </w:pPr>
    </w:lvl>
    <w:lvl w:ilvl="2" w:tplc="92F4263A" w:tentative="1">
      <w:start w:val="1"/>
      <w:numFmt w:val="lowerRoman"/>
      <w:lvlText w:val="%3."/>
      <w:lvlJc w:val="right"/>
      <w:pPr>
        <w:ind w:left="2160" w:hanging="180"/>
      </w:pPr>
    </w:lvl>
    <w:lvl w:ilvl="3" w:tplc="0D34C6A0" w:tentative="1">
      <w:start w:val="1"/>
      <w:numFmt w:val="decimal"/>
      <w:lvlText w:val="%4."/>
      <w:lvlJc w:val="left"/>
      <w:pPr>
        <w:ind w:left="2880" w:hanging="360"/>
      </w:pPr>
    </w:lvl>
    <w:lvl w:ilvl="4" w:tplc="79647DEE" w:tentative="1">
      <w:start w:val="1"/>
      <w:numFmt w:val="lowerLetter"/>
      <w:lvlText w:val="%5."/>
      <w:lvlJc w:val="left"/>
      <w:pPr>
        <w:ind w:left="3600" w:hanging="360"/>
      </w:pPr>
    </w:lvl>
    <w:lvl w:ilvl="5" w:tplc="A1FCA8C8" w:tentative="1">
      <w:start w:val="1"/>
      <w:numFmt w:val="lowerRoman"/>
      <w:lvlText w:val="%6."/>
      <w:lvlJc w:val="right"/>
      <w:pPr>
        <w:ind w:left="4320" w:hanging="180"/>
      </w:pPr>
    </w:lvl>
    <w:lvl w:ilvl="6" w:tplc="AD4837F8" w:tentative="1">
      <w:start w:val="1"/>
      <w:numFmt w:val="decimal"/>
      <w:lvlText w:val="%7."/>
      <w:lvlJc w:val="left"/>
      <w:pPr>
        <w:ind w:left="5040" w:hanging="360"/>
      </w:pPr>
    </w:lvl>
    <w:lvl w:ilvl="7" w:tplc="AA620E84" w:tentative="1">
      <w:start w:val="1"/>
      <w:numFmt w:val="lowerLetter"/>
      <w:lvlText w:val="%8."/>
      <w:lvlJc w:val="left"/>
      <w:pPr>
        <w:ind w:left="5760" w:hanging="360"/>
      </w:pPr>
    </w:lvl>
    <w:lvl w:ilvl="8" w:tplc="5FBAFD54" w:tentative="1">
      <w:start w:val="1"/>
      <w:numFmt w:val="lowerRoman"/>
      <w:lvlText w:val="%9."/>
      <w:lvlJc w:val="right"/>
      <w:pPr>
        <w:ind w:left="6480" w:hanging="180"/>
      </w:pPr>
    </w:lvl>
  </w:abstractNum>
  <w:abstractNum w:abstractNumId="1" w15:restartNumberingAfterBreak="0">
    <w:nsid w:val="09AF2E7D"/>
    <w:multiLevelType w:val="hybridMultilevel"/>
    <w:tmpl w:val="6A5E16A4"/>
    <w:lvl w:ilvl="0" w:tplc="0FC660CE">
      <w:start w:val="1"/>
      <w:numFmt w:val="lowerLetter"/>
      <w:lvlText w:val="%1."/>
      <w:lvlJc w:val="left"/>
      <w:pPr>
        <w:ind w:left="360" w:hanging="360"/>
      </w:pPr>
    </w:lvl>
    <w:lvl w:ilvl="1" w:tplc="5C300A68">
      <w:start w:val="1"/>
      <w:numFmt w:val="decimal"/>
      <w:lvlText w:val="%2."/>
      <w:lvlJc w:val="left"/>
      <w:pPr>
        <w:tabs>
          <w:tab w:val="num" w:pos="1364"/>
        </w:tabs>
        <w:ind w:left="1364" w:hanging="360"/>
      </w:pPr>
    </w:lvl>
    <w:lvl w:ilvl="2" w:tplc="A760895A">
      <w:start w:val="1"/>
      <w:numFmt w:val="decimal"/>
      <w:lvlText w:val="%3."/>
      <w:lvlJc w:val="left"/>
      <w:pPr>
        <w:tabs>
          <w:tab w:val="num" w:pos="2084"/>
        </w:tabs>
        <w:ind w:left="2084" w:hanging="360"/>
      </w:pPr>
    </w:lvl>
    <w:lvl w:ilvl="3" w:tplc="DDA4847A">
      <w:start w:val="1"/>
      <w:numFmt w:val="decimal"/>
      <w:lvlText w:val="%4."/>
      <w:lvlJc w:val="left"/>
      <w:pPr>
        <w:tabs>
          <w:tab w:val="num" w:pos="2804"/>
        </w:tabs>
        <w:ind w:left="2804" w:hanging="360"/>
      </w:pPr>
    </w:lvl>
    <w:lvl w:ilvl="4" w:tplc="A0AC8DBA">
      <w:start w:val="1"/>
      <w:numFmt w:val="decimal"/>
      <w:lvlText w:val="%5."/>
      <w:lvlJc w:val="left"/>
      <w:pPr>
        <w:tabs>
          <w:tab w:val="num" w:pos="3524"/>
        </w:tabs>
        <w:ind w:left="3524" w:hanging="360"/>
      </w:pPr>
    </w:lvl>
    <w:lvl w:ilvl="5" w:tplc="BC0474D8">
      <w:start w:val="1"/>
      <w:numFmt w:val="decimal"/>
      <w:lvlText w:val="%6."/>
      <w:lvlJc w:val="left"/>
      <w:pPr>
        <w:tabs>
          <w:tab w:val="num" w:pos="4244"/>
        </w:tabs>
        <w:ind w:left="4244" w:hanging="360"/>
      </w:pPr>
    </w:lvl>
    <w:lvl w:ilvl="6" w:tplc="E494C594">
      <w:start w:val="1"/>
      <w:numFmt w:val="decimal"/>
      <w:lvlText w:val="%7."/>
      <w:lvlJc w:val="left"/>
      <w:pPr>
        <w:tabs>
          <w:tab w:val="num" w:pos="4964"/>
        </w:tabs>
        <w:ind w:left="4964" w:hanging="360"/>
      </w:pPr>
    </w:lvl>
    <w:lvl w:ilvl="7" w:tplc="72EEB00C">
      <w:start w:val="1"/>
      <w:numFmt w:val="decimal"/>
      <w:lvlText w:val="%8."/>
      <w:lvlJc w:val="left"/>
      <w:pPr>
        <w:tabs>
          <w:tab w:val="num" w:pos="5684"/>
        </w:tabs>
        <w:ind w:left="5684" w:hanging="360"/>
      </w:pPr>
    </w:lvl>
    <w:lvl w:ilvl="8" w:tplc="4C2CB9E8">
      <w:start w:val="1"/>
      <w:numFmt w:val="decimal"/>
      <w:lvlText w:val="%9."/>
      <w:lvlJc w:val="left"/>
      <w:pPr>
        <w:tabs>
          <w:tab w:val="num" w:pos="6404"/>
        </w:tabs>
        <w:ind w:left="6404" w:hanging="360"/>
      </w:pPr>
    </w:lvl>
  </w:abstractNum>
  <w:abstractNum w:abstractNumId="2" w15:restartNumberingAfterBreak="0">
    <w:nsid w:val="174F6F21"/>
    <w:multiLevelType w:val="multilevel"/>
    <w:tmpl w:val="EC42485A"/>
    <w:lvl w:ilvl="0">
      <w:start w:val="1"/>
      <w:numFmt w:val="decimal"/>
      <w:pStyle w:val="Bullet4"/>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B693E77"/>
    <w:multiLevelType w:val="hybridMultilevel"/>
    <w:tmpl w:val="A87AE38E"/>
    <w:lvl w:ilvl="0" w:tplc="E08A9038">
      <w:start w:val="1"/>
      <w:numFmt w:val="bullet"/>
      <w:lvlText w:val=""/>
      <w:lvlJc w:val="left"/>
      <w:pPr>
        <w:ind w:left="720" w:hanging="360"/>
      </w:pPr>
      <w:rPr>
        <w:rFonts w:ascii="Symbol" w:hAnsi="Symbol" w:hint="default"/>
      </w:rPr>
    </w:lvl>
    <w:lvl w:ilvl="1" w:tplc="54501CEC" w:tentative="1">
      <w:start w:val="1"/>
      <w:numFmt w:val="lowerLetter"/>
      <w:lvlText w:val="%2."/>
      <w:lvlJc w:val="left"/>
      <w:pPr>
        <w:ind w:left="1440" w:hanging="360"/>
      </w:pPr>
    </w:lvl>
    <w:lvl w:ilvl="2" w:tplc="DB8AE844" w:tentative="1">
      <w:start w:val="1"/>
      <w:numFmt w:val="lowerRoman"/>
      <w:lvlText w:val="%3."/>
      <w:lvlJc w:val="right"/>
      <w:pPr>
        <w:ind w:left="2160" w:hanging="180"/>
      </w:pPr>
    </w:lvl>
    <w:lvl w:ilvl="3" w:tplc="166EC300" w:tentative="1">
      <w:start w:val="1"/>
      <w:numFmt w:val="decimal"/>
      <w:lvlText w:val="%4."/>
      <w:lvlJc w:val="left"/>
      <w:pPr>
        <w:ind w:left="2880" w:hanging="360"/>
      </w:pPr>
    </w:lvl>
    <w:lvl w:ilvl="4" w:tplc="605AD9F0" w:tentative="1">
      <w:start w:val="1"/>
      <w:numFmt w:val="lowerLetter"/>
      <w:lvlText w:val="%5."/>
      <w:lvlJc w:val="left"/>
      <w:pPr>
        <w:ind w:left="3600" w:hanging="360"/>
      </w:pPr>
    </w:lvl>
    <w:lvl w:ilvl="5" w:tplc="7018C9F2" w:tentative="1">
      <w:start w:val="1"/>
      <w:numFmt w:val="lowerRoman"/>
      <w:lvlText w:val="%6."/>
      <w:lvlJc w:val="right"/>
      <w:pPr>
        <w:ind w:left="4320" w:hanging="180"/>
      </w:pPr>
    </w:lvl>
    <w:lvl w:ilvl="6" w:tplc="ECFE72FA" w:tentative="1">
      <w:start w:val="1"/>
      <w:numFmt w:val="decimal"/>
      <w:lvlText w:val="%7."/>
      <w:lvlJc w:val="left"/>
      <w:pPr>
        <w:ind w:left="5040" w:hanging="360"/>
      </w:pPr>
    </w:lvl>
    <w:lvl w:ilvl="7" w:tplc="7FECEEE0" w:tentative="1">
      <w:start w:val="1"/>
      <w:numFmt w:val="lowerLetter"/>
      <w:lvlText w:val="%8."/>
      <w:lvlJc w:val="left"/>
      <w:pPr>
        <w:ind w:left="5760" w:hanging="360"/>
      </w:pPr>
    </w:lvl>
    <w:lvl w:ilvl="8" w:tplc="C1D0EDA0" w:tentative="1">
      <w:start w:val="1"/>
      <w:numFmt w:val="lowerRoman"/>
      <w:lvlText w:val="%9."/>
      <w:lvlJc w:val="right"/>
      <w:pPr>
        <w:ind w:left="6480" w:hanging="180"/>
      </w:pPr>
    </w:lvl>
  </w:abstractNum>
  <w:abstractNum w:abstractNumId="4" w15:restartNumberingAfterBreak="0">
    <w:nsid w:val="1C604379"/>
    <w:multiLevelType w:val="hybridMultilevel"/>
    <w:tmpl w:val="93965F36"/>
    <w:lvl w:ilvl="0" w:tplc="185A96AA">
      <w:start w:val="1"/>
      <w:numFmt w:val="bullet"/>
      <w:lvlText w:val=""/>
      <w:lvlJc w:val="left"/>
      <w:pPr>
        <w:ind w:left="1440" w:hanging="360"/>
      </w:pPr>
      <w:rPr>
        <w:rFonts w:ascii="Symbol" w:hAnsi="Symbol" w:hint="default"/>
      </w:rPr>
    </w:lvl>
    <w:lvl w:ilvl="1" w:tplc="62CCBEE6">
      <w:start w:val="1"/>
      <w:numFmt w:val="bullet"/>
      <w:lvlText w:val="o"/>
      <w:lvlJc w:val="left"/>
      <w:pPr>
        <w:ind w:left="2160" w:hanging="360"/>
      </w:pPr>
      <w:rPr>
        <w:rFonts w:ascii="Courier New" w:hAnsi="Courier New" w:cs="Courier New" w:hint="default"/>
      </w:rPr>
    </w:lvl>
    <w:lvl w:ilvl="2" w:tplc="04DCCE56">
      <w:start w:val="1"/>
      <w:numFmt w:val="bullet"/>
      <w:lvlText w:val=""/>
      <w:lvlJc w:val="left"/>
      <w:pPr>
        <w:ind w:left="2880" w:hanging="360"/>
      </w:pPr>
      <w:rPr>
        <w:rFonts w:ascii="Wingdings" w:hAnsi="Wingdings" w:hint="default"/>
      </w:rPr>
    </w:lvl>
    <w:lvl w:ilvl="3" w:tplc="4EE86C96">
      <w:start w:val="1"/>
      <w:numFmt w:val="bullet"/>
      <w:lvlText w:val=""/>
      <w:lvlJc w:val="left"/>
      <w:pPr>
        <w:ind w:left="3600" w:hanging="360"/>
      </w:pPr>
      <w:rPr>
        <w:rFonts w:ascii="Symbol" w:hAnsi="Symbol" w:hint="default"/>
      </w:rPr>
    </w:lvl>
    <w:lvl w:ilvl="4" w:tplc="3E90A106">
      <w:start w:val="1"/>
      <w:numFmt w:val="bullet"/>
      <w:lvlText w:val="o"/>
      <w:lvlJc w:val="left"/>
      <w:pPr>
        <w:ind w:left="4320" w:hanging="360"/>
      </w:pPr>
      <w:rPr>
        <w:rFonts w:ascii="Courier New" w:hAnsi="Courier New" w:cs="Courier New" w:hint="default"/>
      </w:rPr>
    </w:lvl>
    <w:lvl w:ilvl="5" w:tplc="DED4F5C6">
      <w:start w:val="1"/>
      <w:numFmt w:val="bullet"/>
      <w:lvlText w:val=""/>
      <w:lvlJc w:val="left"/>
      <w:pPr>
        <w:ind w:left="5040" w:hanging="360"/>
      </w:pPr>
      <w:rPr>
        <w:rFonts w:ascii="Wingdings" w:hAnsi="Wingdings" w:hint="default"/>
      </w:rPr>
    </w:lvl>
    <w:lvl w:ilvl="6" w:tplc="74A44058">
      <w:start w:val="1"/>
      <w:numFmt w:val="bullet"/>
      <w:lvlText w:val=""/>
      <w:lvlJc w:val="left"/>
      <w:pPr>
        <w:ind w:left="5760" w:hanging="360"/>
      </w:pPr>
      <w:rPr>
        <w:rFonts w:ascii="Symbol" w:hAnsi="Symbol" w:hint="default"/>
      </w:rPr>
    </w:lvl>
    <w:lvl w:ilvl="7" w:tplc="FE8039D6">
      <w:start w:val="1"/>
      <w:numFmt w:val="bullet"/>
      <w:lvlText w:val="o"/>
      <w:lvlJc w:val="left"/>
      <w:pPr>
        <w:ind w:left="6480" w:hanging="360"/>
      </w:pPr>
      <w:rPr>
        <w:rFonts w:ascii="Courier New" w:hAnsi="Courier New" w:cs="Courier New" w:hint="default"/>
      </w:rPr>
    </w:lvl>
    <w:lvl w:ilvl="8" w:tplc="21446EFA">
      <w:start w:val="1"/>
      <w:numFmt w:val="bullet"/>
      <w:lvlText w:val=""/>
      <w:lvlJc w:val="left"/>
      <w:pPr>
        <w:ind w:left="7200" w:hanging="360"/>
      </w:pPr>
      <w:rPr>
        <w:rFonts w:ascii="Wingdings" w:hAnsi="Wingdings" w:hint="default"/>
      </w:rPr>
    </w:lvl>
  </w:abstractNum>
  <w:abstractNum w:abstractNumId="5" w15:restartNumberingAfterBreak="0">
    <w:nsid w:val="1DC6668A"/>
    <w:multiLevelType w:val="hybridMultilevel"/>
    <w:tmpl w:val="270AEDEE"/>
    <w:lvl w:ilvl="0" w:tplc="7B96BCEA">
      <w:start w:val="1"/>
      <w:numFmt w:val="decimal"/>
      <w:lvlText w:val="%1."/>
      <w:lvlJc w:val="left"/>
      <w:pPr>
        <w:ind w:left="720" w:hanging="360"/>
      </w:pPr>
      <w:rPr>
        <w:rFonts w:hint="default"/>
      </w:rPr>
    </w:lvl>
    <w:lvl w:ilvl="1" w:tplc="049E6492" w:tentative="1">
      <w:start w:val="1"/>
      <w:numFmt w:val="lowerLetter"/>
      <w:lvlText w:val="%2."/>
      <w:lvlJc w:val="left"/>
      <w:pPr>
        <w:ind w:left="1440" w:hanging="360"/>
      </w:pPr>
    </w:lvl>
    <w:lvl w:ilvl="2" w:tplc="97DA00B8" w:tentative="1">
      <w:start w:val="1"/>
      <w:numFmt w:val="lowerRoman"/>
      <w:lvlText w:val="%3."/>
      <w:lvlJc w:val="right"/>
      <w:pPr>
        <w:ind w:left="2160" w:hanging="180"/>
      </w:pPr>
    </w:lvl>
    <w:lvl w:ilvl="3" w:tplc="DF5EA2FA" w:tentative="1">
      <w:start w:val="1"/>
      <w:numFmt w:val="decimal"/>
      <w:lvlText w:val="%4."/>
      <w:lvlJc w:val="left"/>
      <w:pPr>
        <w:ind w:left="2880" w:hanging="360"/>
      </w:pPr>
    </w:lvl>
    <w:lvl w:ilvl="4" w:tplc="D376FBA4" w:tentative="1">
      <w:start w:val="1"/>
      <w:numFmt w:val="lowerLetter"/>
      <w:lvlText w:val="%5."/>
      <w:lvlJc w:val="left"/>
      <w:pPr>
        <w:ind w:left="3600" w:hanging="360"/>
      </w:pPr>
    </w:lvl>
    <w:lvl w:ilvl="5" w:tplc="4748F8B6" w:tentative="1">
      <w:start w:val="1"/>
      <w:numFmt w:val="lowerRoman"/>
      <w:lvlText w:val="%6."/>
      <w:lvlJc w:val="right"/>
      <w:pPr>
        <w:ind w:left="4320" w:hanging="180"/>
      </w:pPr>
    </w:lvl>
    <w:lvl w:ilvl="6" w:tplc="0F187BF6" w:tentative="1">
      <w:start w:val="1"/>
      <w:numFmt w:val="decimal"/>
      <w:lvlText w:val="%7."/>
      <w:lvlJc w:val="left"/>
      <w:pPr>
        <w:ind w:left="5040" w:hanging="360"/>
      </w:pPr>
    </w:lvl>
    <w:lvl w:ilvl="7" w:tplc="207EC2A8" w:tentative="1">
      <w:start w:val="1"/>
      <w:numFmt w:val="lowerLetter"/>
      <w:lvlText w:val="%8."/>
      <w:lvlJc w:val="left"/>
      <w:pPr>
        <w:ind w:left="5760" w:hanging="360"/>
      </w:pPr>
    </w:lvl>
    <w:lvl w:ilvl="8" w:tplc="34B6AE66" w:tentative="1">
      <w:start w:val="1"/>
      <w:numFmt w:val="lowerRoman"/>
      <w:lvlText w:val="%9."/>
      <w:lvlJc w:val="right"/>
      <w:pPr>
        <w:ind w:left="6480" w:hanging="180"/>
      </w:pPr>
    </w:lvl>
  </w:abstractNum>
  <w:abstractNum w:abstractNumId="6" w15:restartNumberingAfterBreak="0">
    <w:nsid w:val="2A123F5D"/>
    <w:multiLevelType w:val="multilevel"/>
    <w:tmpl w:val="DD50CE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F551652"/>
    <w:multiLevelType w:val="hybridMultilevel"/>
    <w:tmpl w:val="F39A0F1E"/>
    <w:lvl w:ilvl="0" w:tplc="88803AA8">
      <w:start w:val="1"/>
      <w:numFmt w:val="decimal"/>
      <w:lvlText w:val="%1."/>
      <w:lvlJc w:val="left"/>
      <w:pPr>
        <w:ind w:left="720" w:hanging="360"/>
      </w:pPr>
    </w:lvl>
    <w:lvl w:ilvl="1" w:tplc="9740F502">
      <w:start w:val="1"/>
      <w:numFmt w:val="decimal"/>
      <w:lvlText w:val="%2."/>
      <w:lvlJc w:val="left"/>
      <w:pPr>
        <w:tabs>
          <w:tab w:val="num" w:pos="1440"/>
        </w:tabs>
        <w:ind w:left="1440" w:hanging="360"/>
      </w:pPr>
    </w:lvl>
    <w:lvl w:ilvl="2" w:tplc="EAC2D710">
      <w:start w:val="1"/>
      <w:numFmt w:val="decimal"/>
      <w:lvlText w:val="%3."/>
      <w:lvlJc w:val="left"/>
      <w:pPr>
        <w:tabs>
          <w:tab w:val="num" w:pos="2160"/>
        </w:tabs>
        <w:ind w:left="2160" w:hanging="360"/>
      </w:pPr>
    </w:lvl>
    <w:lvl w:ilvl="3" w:tplc="0A860A48">
      <w:start w:val="1"/>
      <w:numFmt w:val="decimal"/>
      <w:lvlText w:val="%4."/>
      <w:lvlJc w:val="left"/>
      <w:pPr>
        <w:tabs>
          <w:tab w:val="num" w:pos="2880"/>
        </w:tabs>
        <w:ind w:left="2880" w:hanging="360"/>
      </w:pPr>
    </w:lvl>
    <w:lvl w:ilvl="4" w:tplc="BCEC386A">
      <w:start w:val="1"/>
      <w:numFmt w:val="decimal"/>
      <w:lvlText w:val="%5."/>
      <w:lvlJc w:val="left"/>
      <w:pPr>
        <w:tabs>
          <w:tab w:val="num" w:pos="3600"/>
        </w:tabs>
        <w:ind w:left="3600" w:hanging="360"/>
      </w:pPr>
    </w:lvl>
    <w:lvl w:ilvl="5" w:tplc="B76E74C6">
      <w:start w:val="1"/>
      <w:numFmt w:val="decimal"/>
      <w:lvlText w:val="%6."/>
      <w:lvlJc w:val="left"/>
      <w:pPr>
        <w:tabs>
          <w:tab w:val="num" w:pos="4320"/>
        </w:tabs>
        <w:ind w:left="4320" w:hanging="360"/>
      </w:pPr>
    </w:lvl>
    <w:lvl w:ilvl="6" w:tplc="3DD0ACF4">
      <w:start w:val="1"/>
      <w:numFmt w:val="decimal"/>
      <w:lvlText w:val="%7."/>
      <w:lvlJc w:val="left"/>
      <w:pPr>
        <w:tabs>
          <w:tab w:val="num" w:pos="5040"/>
        </w:tabs>
        <w:ind w:left="5040" w:hanging="360"/>
      </w:pPr>
    </w:lvl>
    <w:lvl w:ilvl="7" w:tplc="84B49574">
      <w:start w:val="1"/>
      <w:numFmt w:val="decimal"/>
      <w:lvlText w:val="%8."/>
      <w:lvlJc w:val="left"/>
      <w:pPr>
        <w:tabs>
          <w:tab w:val="num" w:pos="5760"/>
        </w:tabs>
        <w:ind w:left="5760" w:hanging="360"/>
      </w:pPr>
    </w:lvl>
    <w:lvl w:ilvl="8" w:tplc="FA1EFEA6">
      <w:start w:val="1"/>
      <w:numFmt w:val="decimal"/>
      <w:lvlText w:val="%9."/>
      <w:lvlJc w:val="left"/>
      <w:pPr>
        <w:tabs>
          <w:tab w:val="num" w:pos="6480"/>
        </w:tabs>
        <w:ind w:left="6480" w:hanging="360"/>
      </w:pPr>
    </w:lvl>
  </w:abstractNum>
  <w:abstractNum w:abstractNumId="8" w15:restartNumberingAfterBreak="0">
    <w:nsid w:val="32DE378D"/>
    <w:multiLevelType w:val="hybridMultilevel"/>
    <w:tmpl w:val="669255CA"/>
    <w:lvl w:ilvl="0" w:tplc="A4409E28">
      <w:start w:val="1"/>
      <w:numFmt w:val="bullet"/>
      <w:pStyle w:val="Bullet"/>
      <w:lvlText w:val=""/>
      <w:lvlJc w:val="left"/>
      <w:pPr>
        <w:ind w:left="363" w:hanging="360"/>
      </w:pPr>
      <w:rPr>
        <w:rFonts w:ascii="Symbol" w:hAnsi="Symbol" w:hint="default"/>
      </w:rPr>
    </w:lvl>
    <w:lvl w:ilvl="1" w:tplc="05EEED36">
      <w:start w:val="1"/>
      <w:numFmt w:val="bullet"/>
      <w:pStyle w:val="Bullet-indent"/>
      <w:lvlText w:val="o"/>
      <w:lvlJc w:val="left"/>
      <w:pPr>
        <w:ind w:left="1083" w:hanging="360"/>
      </w:pPr>
      <w:rPr>
        <w:rFonts w:ascii="Courier New" w:hAnsi="Courier New" w:cs="Courier New" w:hint="default"/>
      </w:rPr>
    </w:lvl>
    <w:lvl w:ilvl="2" w:tplc="B948AABA" w:tentative="1">
      <w:start w:val="1"/>
      <w:numFmt w:val="bullet"/>
      <w:lvlText w:val=""/>
      <w:lvlJc w:val="left"/>
      <w:pPr>
        <w:ind w:left="1803" w:hanging="360"/>
      </w:pPr>
      <w:rPr>
        <w:rFonts w:ascii="Wingdings" w:hAnsi="Wingdings" w:hint="default"/>
      </w:rPr>
    </w:lvl>
    <w:lvl w:ilvl="3" w:tplc="2D5C880E" w:tentative="1">
      <w:start w:val="1"/>
      <w:numFmt w:val="bullet"/>
      <w:lvlText w:val=""/>
      <w:lvlJc w:val="left"/>
      <w:pPr>
        <w:ind w:left="2523" w:hanging="360"/>
      </w:pPr>
      <w:rPr>
        <w:rFonts w:ascii="Symbol" w:hAnsi="Symbol" w:hint="default"/>
      </w:rPr>
    </w:lvl>
    <w:lvl w:ilvl="4" w:tplc="26922A50" w:tentative="1">
      <w:start w:val="1"/>
      <w:numFmt w:val="bullet"/>
      <w:lvlText w:val="o"/>
      <w:lvlJc w:val="left"/>
      <w:pPr>
        <w:ind w:left="3243" w:hanging="360"/>
      </w:pPr>
      <w:rPr>
        <w:rFonts w:ascii="Courier New" w:hAnsi="Courier New" w:cs="Courier New" w:hint="default"/>
      </w:rPr>
    </w:lvl>
    <w:lvl w:ilvl="5" w:tplc="BB78990A" w:tentative="1">
      <w:start w:val="1"/>
      <w:numFmt w:val="bullet"/>
      <w:lvlText w:val=""/>
      <w:lvlJc w:val="left"/>
      <w:pPr>
        <w:ind w:left="3963" w:hanging="360"/>
      </w:pPr>
      <w:rPr>
        <w:rFonts w:ascii="Wingdings" w:hAnsi="Wingdings" w:hint="default"/>
      </w:rPr>
    </w:lvl>
    <w:lvl w:ilvl="6" w:tplc="88024AEC" w:tentative="1">
      <w:start w:val="1"/>
      <w:numFmt w:val="bullet"/>
      <w:lvlText w:val=""/>
      <w:lvlJc w:val="left"/>
      <w:pPr>
        <w:ind w:left="4683" w:hanging="360"/>
      </w:pPr>
      <w:rPr>
        <w:rFonts w:ascii="Symbol" w:hAnsi="Symbol" w:hint="default"/>
      </w:rPr>
    </w:lvl>
    <w:lvl w:ilvl="7" w:tplc="904AFED0" w:tentative="1">
      <w:start w:val="1"/>
      <w:numFmt w:val="bullet"/>
      <w:lvlText w:val="o"/>
      <w:lvlJc w:val="left"/>
      <w:pPr>
        <w:ind w:left="5403" w:hanging="360"/>
      </w:pPr>
      <w:rPr>
        <w:rFonts w:ascii="Courier New" w:hAnsi="Courier New" w:cs="Courier New" w:hint="default"/>
      </w:rPr>
    </w:lvl>
    <w:lvl w:ilvl="8" w:tplc="330EEE42" w:tentative="1">
      <w:start w:val="1"/>
      <w:numFmt w:val="bullet"/>
      <w:lvlText w:val=""/>
      <w:lvlJc w:val="left"/>
      <w:pPr>
        <w:ind w:left="6123" w:hanging="360"/>
      </w:pPr>
      <w:rPr>
        <w:rFonts w:ascii="Wingdings" w:hAnsi="Wingdings" w:hint="default"/>
      </w:rPr>
    </w:lvl>
  </w:abstractNum>
  <w:abstractNum w:abstractNumId="9" w15:restartNumberingAfterBreak="0">
    <w:nsid w:val="389F5DB0"/>
    <w:multiLevelType w:val="hybridMultilevel"/>
    <w:tmpl w:val="CD62B4D8"/>
    <w:lvl w:ilvl="0" w:tplc="9E4C3F0C">
      <w:start w:val="1"/>
      <w:numFmt w:val="bullet"/>
      <w:lvlText w:val=""/>
      <w:lvlJc w:val="left"/>
      <w:pPr>
        <w:ind w:left="720" w:hanging="360"/>
      </w:pPr>
      <w:rPr>
        <w:rFonts w:ascii="Symbol" w:hAnsi="Symbol" w:hint="default"/>
      </w:rPr>
    </w:lvl>
    <w:lvl w:ilvl="1" w:tplc="38CEC0DA" w:tentative="1">
      <w:start w:val="1"/>
      <w:numFmt w:val="bullet"/>
      <w:lvlText w:val="o"/>
      <w:lvlJc w:val="left"/>
      <w:pPr>
        <w:ind w:left="1440" w:hanging="360"/>
      </w:pPr>
      <w:rPr>
        <w:rFonts w:ascii="Courier New" w:hAnsi="Courier New" w:cs="Courier New" w:hint="default"/>
      </w:rPr>
    </w:lvl>
    <w:lvl w:ilvl="2" w:tplc="0F28F27C" w:tentative="1">
      <w:start w:val="1"/>
      <w:numFmt w:val="bullet"/>
      <w:lvlText w:val=""/>
      <w:lvlJc w:val="left"/>
      <w:pPr>
        <w:ind w:left="2160" w:hanging="360"/>
      </w:pPr>
      <w:rPr>
        <w:rFonts w:ascii="Wingdings" w:hAnsi="Wingdings" w:hint="default"/>
      </w:rPr>
    </w:lvl>
    <w:lvl w:ilvl="3" w:tplc="1D500988" w:tentative="1">
      <w:start w:val="1"/>
      <w:numFmt w:val="bullet"/>
      <w:lvlText w:val=""/>
      <w:lvlJc w:val="left"/>
      <w:pPr>
        <w:ind w:left="2880" w:hanging="360"/>
      </w:pPr>
      <w:rPr>
        <w:rFonts w:ascii="Symbol" w:hAnsi="Symbol" w:hint="default"/>
      </w:rPr>
    </w:lvl>
    <w:lvl w:ilvl="4" w:tplc="F3B4EE1E" w:tentative="1">
      <w:start w:val="1"/>
      <w:numFmt w:val="bullet"/>
      <w:lvlText w:val="o"/>
      <w:lvlJc w:val="left"/>
      <w:pPr>
        <w:ind w:left="3600" w:hanging="360"/>
      </w:pPr>
      <w:rPr>
        <w:rFonts w:ascii="Courier New" w:hAnsi="Courier New" w:cs="Courier New" w:hint="default"/>
      </w:rPr>
    </w:lvl>
    <w:lvl w:ilvl="5" w:tplc="7CD45A20" w:tentative="1">
      <w:start w:val="1"/>
      <w:numFmt w:val="bullet"/>
      <w:lvlText w:val=""/>
      <w:lvlJc w:val="left"/>
      <w:pPr>
        <w:ind w:left="4320" w:hanging="360"/>
      </w:pPr>
      <w:rPr>
        <w:rFonts w:ascii="Wingdings" w:hAnsi="Wingdings" w:hint="default"/>
      </w:rPr>
    </w:lvl>
    <w:lvl w:ilvl="6" w:tplc="FA5E709A" w:tentative="1">
      <w:start w:val="1"/>
      <w:numFmt w:val="bullet"/>
      <w:lvlText w:val=""/>
      <w:lvlJc w:val="left"/>
      <w:pPr>
        <w:ind w:left="5040" w:hanging="360"/>
      </w:pPr>
      <w:rPr>
        <w:rFonts w:ascii="Symbol" w:hAnsi="Symbol" w:hint="default"/>
      </w:rPr>
    </w:lvl>
    <w:lvl w:ilvl="7" w:tplc="2EA6DCC2" w:tentative="1">
      <w:start w:val="1"/>
      <w:numFmt w:val="bullet"/>
      <w:lvlText w:val="o"/>
      <w:lvlJc w:val="left"/>
      <w:pPr>
        <w:ind w:left="5760" w:hanging="360"/>
      </w:pPr>
      <w:rPr>
        <w:rFonts w:ascii="Courier New" w:hAnsi="Courier New" w:cs="Courier New" w:hint="default"/>
      </w:rPr>
    </w:lvl>
    <w:lvl w:ilvl="8" w:tplc="8A624508" w:tentative="1">
      <w:start w:val="1"/>
      <w:numFmt w:val="bullet"/>
      <w:lvlText w:val=""/>
      <w:lvlJc w:val="left"/>
      <w:pPr>
        <w:ind w:left="6480" w:hanging="360"/>
      </w:pPr>
      <w:rPr>
        <w:rFonts w:ascii="Wingdings" w:hAnsi="Wingdings" w:hint="default"/>
      </w:rPr>
    </w:lvl>
  </w:abstractNum>
  <w:abstractNum w:abstractNumId="10" w15:restartNumberingAfterBreak="0">
    <w:nsid w:val="3A9C3FDE"/>
    <w:multiLevelType w:val="hybridMultilevel"/>
    <w:tmpl w:val="C5CCAAB2"/>
    <w:lvl w:ilvl="0" w:tplc="9918D34C">
      <w:start w:val="1"/>
      <w:numFmt w:val="bullet"/>
      <w:lvlText w:val=""/>
      <w:lvlJc w:val="left"/>
      <w:pPr>
        <w:ind w:left="720" w:hanging="360"/>
      </w:pPr>
      <w:rPr>
        <w:rFonts w:ascii="Symbol" w:hAnsi="Symbol" w:hint="default"/>
      </w:rPr>
    </w:lvl>
    <w:lvl w:ilvl="1" w:tplc="9D30C17E" w:tentative="1">
      <w:start w:val="1"/>
      <w:numFmt w:val="bullet"/>
      <w:lvlText w:val="o"/>
      <w:lvlJc w:val="left"/>
      <w:pPr>
        <w:ind w:left="1440" w:hanging="360"/>
      </w:pPr>
      <w:rPr>
        <w:rFonts w:ascii="Courier New" w:hAnsi="Courier New" w:cs="Courier New" w:hint="default"/>
      </w:rPr>
    </w:lvl>
    <w:lvl w:ilvl="2" w:tplc="AC8E78CE" w:tentative="1">
      <w:start w:val="1"/>
      <w:numFmt w:val="bullet"/>
      <w:lvlText w:val=""/>
      <w:lvlJc w:val="left"/>
      <w:pPr>
        <w:ind w:left="2160" w:hanging="360"/>
      </w:pPr>
      <w:rPr>
        <w:rFonts w:ascii="Wingdings" w:hAnsi="Wingdings" w:hint="default"/>
      </w:rPr>
    </w:lvl>
    <w:lvl w:ilvl="3" w:tplc="14F698E6" w:tentative="1">
      <w:start w:val="1"/>
      <w:numFmt w:val="bullet"/>
      <w:lvlText w:val=""/>
      <w:lvlJc w:val="left"/>
      <w:pPr>
        <w:ind w:left="2880" w:hanging="360"/>
      </w:pPr>
      <w:rPr>
        <w:rFonts w:ascii="Symbol" w:hAnsi="Symbol" w:hint="default"/>
      </w:rPr>
    </w:lvl>
    <w:lvl w:ilvl="4" w:tplc="502891D4" w:tentative="1">
      <w:start w:val="1"/>
      <w:numFmt w:val="bullet"/>
      <w:lvlText w:val="o"/>
      <w:lvlJc w:val="left"/>
      <w:pPr>
        <w:ind w:left="3600" w:hanging="360"/>
      </w:pPr>
      <w:rPr>
        <w:rFonts w:ascii="Courier New" w:hAnsi="Courier New" w:cs="Courier New" w:hint="default"/>
      </w:rPr>
    </w:lvl>
    <w:lvl w:ilvl="5" w:tplc="E05A88CA" w:tentative="1">
      <w:start w:val="1"/>
      <w:numFmt w:val="bullet"/>
      <w:lvlText w:val=""/>
      <w:lvlJc w:val="left"/>
      <w:pPr>
        <w:ind w:left="4320" w:hanging="360"/>
      </w:pPr>
      <w:rPr>
        <w:rFonts w:ascii="Wingdings" w:hAnsi="Wingdings" w:hint="default"/>
      </w:rPr>
    </w:lvl>
    <w:lvl w:ilvl="6" w:tplc="12FEEA3C" w:tentative="1">
      <w:start w:val="1"/>
      <w:numFmt w:val="bullet"/>
      <w:lvlText w:val=""/>
      <w:lvlJc w:val="left"/>
      <w:pPr>
        <w:ind w:left="5040" w:hanging="360"/>
      </w:pPr>
      <w:rPr>
        <w:rFonts w:ascii="Symbol" w:hAnsi="Symbol" w:hint="default"/>
      </w:rPr>
    </w:lvl>
    <w:lvl w:ilvl="7" w:tplc="961068EE" w:tentative="1">
      <w:start w:val="1"/>
      <w:numFmt w:val="bullet"/>
      <w:lvlText w:val="o"/>
      <w:lvlJc w:val="left"/>
      <w:pPr>
        <w:ind w:left="5760" w:hanging="360"/>
      </w:pPr>
      <w:rPr>
        <w:rFonts w:ascii="Courier New" w:hAnsi="Courier New" w:cs="Courier New" w:hint="default"/>
      </w:rPr>
    </w:lvl>
    <w:lvl w:ilvl="8" w:tplc="0D003322" w:tentative="1">
      <w:start w:val="1"/>
      <w:numFmt w:val="bullet"/>
      <w:lvlText w:val=""/>
      <w:lvlJc w:val="left"/>
      <w:pPr>
        <w:ind w:left="6480" w:hanging="360"/>
      </w:pPr>
      <w:rPr>
        <w:rFonts w:ascii="Wingdings" w:hAnsi="Wingdings" w:hint="default"/>
      </w:rPr>
    </w:lvl>
  </w:abstractNum>
  <w:abstractNum w:abstractNumId="11" w15:restartNumberingAfterBreak="0">
    <w:nsid w:val="3DCC7454"/>
    <w:multiLevelType w:val="hybridMultilevel"/>
    <w:tmpl w:val="2C202BB2"/>
    <w:lvl w:ilvl="0" w:tplc="C98ECB3E">
      <w:start w:val="1"/>
      <w:numFmt w:val="bullet"/>
      <w:lvlText w:val=""/>
      <w:lvlJc w:val="left"/>
      <w:pPr>
        <w:ind w:left="720" w:hanging="360"/>
      </w:pPr>
      <w:rPr>
        <w:rFonts w:ascii="Symbol" w:hAnsi="Symbol" w:hint="default"/>
      </w:rPr>
    </w:lvl>
    <w:lvl w:ilvl="1" w:tplc="B62C2702" w:tentative="1">
      <w:start w:val="1"/>
      <w:numFmt w:val="bullet"/>
      <w:lvlText w:val="o"/>
      <w:lvlJc w:val="left"/>
      <w:pPr>
        <w:ind w:left="1440" w:hanging="360"/>
      </w:pPr>
      <w:rPr>
        <w:rFonts w:ascii="Courier New" w:hAnsi="Courier New" w:cs="Courier New" w:hint="default"/>
      </w:rPr>
    </w:lvl>
    <w:lvl w:ilvl="2" w:tplc="E068B38A" w:tentative="1">
      <w:start w:val="1"/>
      <w:numFmt w:val="bullet"/>
      <w:lvlText w:val=""/>
      <w:lvlJc w:val="left"/>
      <w:pPr>
        <w:ind w:left="2160" w:hanging="360"/>
      </w:pPr>
      <w:rPr>
        <w:rFonts w:ascii="Wingdings" w:hAnsi="Wingdings" w:hint="default"/>
      </w:rPr>
    </w:lvl>
    <w:lvl w:ilvl="3" w:tplc="2BDE3E4E" w:tentative="1">
      <w:start w:val="1"/>
      <w:numFmt w:val="bullet"/>
      <w:lvlText w:val=""/>
      <w:lvlJc w:val="left"/>
      <w:pPr>
        <w:ind w:left="2880" w:hanging="360"/>
      </w:pPr>
      <w:rPr>
        <w:rFonts w:ascii="Symbol" w:hAnsi="Symbol" w:hint="default"/>
      </w:rPr>
    </w:lvl>
    <w:lvl w:ilvl="4" w:tplc="9CDC3758" w:tentative="1">
      <w:start w:val="1"/>
      <w:numFmt w:val="bullet"/>
      <w:lvlText w:val="o"/>
      <w:lvlJc w:val="left"/>
      <w:pPr>
        <w:ind w:left="3600" w:hanging="360"/>
      </w:pPr>
      <w:rPr>
        <w:rFonts w:ascii="Courier New" w:hAnsi="Courier New" w:cs="Courier New" w:hint="default"/>
      </w:rPr>
    </w:lvl>
    <w:lvl w:ilvl="5" w:tplc="8AD805E6" w:tentative="1">
      <w:start w:val="1"/>
      <w:numFmt w:val="bullet"/>
      <w:lvlText w:val=""/>
      <w:lvlJc w:val="left"/>
      <w:pPr>
        <w:ind w:left="4320" w:hanging="360"/>
      </w:pPr>
      <w:rPr>
        <w:rFonts w:ascii="Wingdings" w:hAnsi="Wingdings" w:hint="default"/>
      </w:rPr>
    </w:lvl>
    <w:lvl w:ilvl="6" w:tplc="9FBED106" w:tentative="1">
      <w:start w:val="1"/>
      <w:numFmt w:val="bullet"/>
      <w:lvlText w:val=""/>
      <w:lvlJc w:val="left"/>
      <w:pPr>
        <w:ind w:left="5040" w:hanging="360"/>
      </w:pPr>
      <w:rPr>
        <w:rFonts w:ascii="Symbol" w:hAnsi="Symbol" w:hint="default"/>
      </w:rPr>
    </w:lvl>
    <w:lvl w:ilvl="7" w:tplc="60923FF0" w:tentative="1">
      <w:start w:val="1"/>
      <w:numFmt w:val="bullet"/>
      <w:lvlText w:val="o"/>
      <w:lvlJc w:val="left"/>
      <w:pPr>
        <w:ind w:left="5760" w:hanging="360"/>
      </w:pPr>
      <w:rPr>
        <w:rFonts w:ascii="Courier New" w:hAnsi="Courier New" w:cs="Courier New" w:hint="default"/>
      </w:rPr>
    </w:lvl>
    <w:lvl w:ilvl="8" w:tplc="6130DBAA" w:tentative="1">
      <w:start w:val="1"/>
      <w:numFmt w:val="bullet"/>
      <w:lvlText w:val=""/>
      <w:lvlJc w:val="left"/>
      <w:pPr>
        <w:ind w:left="6480" w:hanging="360"/>
      </w:pPr>
      <w:rPr>
        <w:rFonts w:ascii="Wingdings" w:hAnsi="Wingdings" w:hint="default"/>
      </w:rPr>
    </w:lvl>
  </w:abstractNum>
  <w:abstractNum w:abstractNumId="12" w15:restartNumberingAfterBreak="0">
    <w:nsid w:val="3F6E0EB4"/>
    <w:multiLevelType w:val="hybridMultilevel"/>
    <w:tmpl w:val="F68E6618"/>
    <w:lvl w:ilvl="0" w:tplc="EFDC623A">
      <w:start w:val="1"/>
      <w:numFmt w:val="bullet"/>
      <w:lvlText w:val=""/>
      <w:lvlJc w:val="left"/>
      <w:pPr>
        <w:ind w:left="720" w:hanging="360"/>
      </w:pPr>
      <w:rPr>
        <w:rFonts w:ascii="Symbol" w:hAnsi="Symbol" w:hint="default"/>
      </w:rPr>
    </w:lvl>
    <w:lvl w:ilvl="1" w:tplc="C79C63CA" w:tentative="1">
      <w:start w:val="1"/>
      <w:numFmt w:val="bullet"/>
      <w:lvlText w:val="o"/>
      <w:lvlJc w:val="left"/>
      <w:pPr>
        <w:ind w:left="1440" w:hanging="360"/>
      </w:pPr>
      <w:rPr>
        <w:rFonts w:ascii="Courier New" w:hAnsi="Courier New" w:cs="Courier New" w:hint="default"/>
      </w:rPr>
    </w:lvl>
    <w:lvl w:ilvl="2" w:tplc="C7F6C244" w:tentative="1">
      <w:start w:val="1"/>
      <w:numFmt w:val="bullet"/>
      <w:lvlText w:val=""/>
      <w:lvlJc w:val="left"/>
      <w:pPr>
        <w:ind w:left="2160" w:hanging="360"/>
      </w:pPr>
      <w:rPr>
        <w:rFonts w:ascii="Wingdings" w:hAnsi="Wingdings" w:hint="default"/>
      </w:rPr>
    </w:lvl>
    <w:lvl w:ilvl="3" w:tplc="2DC2BFB0" w:tentative="1">
      <w:start w:val="1"/>
      <w:numFmt w:val="bullet"/>
      <w:lvlText w:val=""/>
      <w:lvlJc w:val="left"/>
      <w:pPr>
        <w:ind w:left="2880" w:hanging="360"/>
      </w:pPr>
      <w:rPr>
        <w:rFonts w:ascii="Symbol" w:hAnsi="Symbol" w:hint="default"/>
      </w:rPr>
    </w:lvl>
    <w:lvl w:ilvl="4" w:tplc="63067C34" w:tentative="1">
      <w:start w:val="1"/>
      <w:numFmt w:val="bullet"/>
      <w:lvlText w:val="o"/>
      <w:lvlJc w:val="left"/>
      <w:pPr>
        <w:ind w:left="3600" w:hanging="360"/>
      </w:pPr>
      <w:rPr>
        <w:rFonts w:ascii="Courier New" w:hAnsi="Courier New" w:cs="Courier New" w:hint="default"/>
      </w:rPr>
    </w:lvl>
    <w:lvl w:ilvl="5" w:tplc="3EDE13D6" w:tentative="1">
      <w:start w:val="1"/>
      <w:numFmt w:val="bullet"/>
      <w:lvlText w:val=""/>
      <w:lvlJc w:val="left"/>
      <w:pPr>
        <w:ind w:left="4320" w:hanging="360"/>
      </w:pPr>
      <w:rPr>
        <w:rFonts w:ascii="Wingdings" w:hAnsi="Wingdings" w:hint="default"/>
      </w:rPr>
    </w:lvl>
    <w:lvl w:ilvl="6" w:tplc="4FC8260E" w:tentative="1">
      <w:start w:val="1"/>
      <w:numFmt w:val="bullet"/>
      <w:lvlText w:val=""/>
      <w:lvlJc w:val="left"/>
      <w:pPr>
        <w:ind w:left="5040" w:hanging="360"/>
      </w:pPr>
      <w:rPr>
        <w:rFonts w:ascii="Symbol" w:hAnsi="Symbol" w:hint="default"/>
      </w:rPr>
    </w:lvl>
    <w:lvl w:ilvl="7" w:tplc="6C380152" w:tentative="1">
      <w:start w:val="1"/>
      <w:numFmt w:val="bullet"/>
      <w:lvlText w:val="o"/>
      <w:lvlJc w:val="left"/>
      <w:pPr>
        <w:ind w:left="5760" w:hanging="360"/>
      </w:pPr>
      <w:rPr>
        <w:rFonts w:ascii="Courier New" w:hAnsi="Courier New" w:cs="Courier New" w:hint="default"/>
      </w:rPr>
    </w:lvl>
    <w:lvl w:ilvl="8" w:tplc="280CC6AA" w:tentative="1">
      <w:start w:val="1"/>
      <w:numFmt w:val="bullet"/>
      <w:lvlText w:val=""/>
      <w:lvlJc w:val="left"/>
      <w:pPr>
        <w:ind w:left="6480" w:hanging="360"/>
      </w:pPr>
      <w:rPr>
        <w:rFonts w:ascii="Wingdings" w:hAnsi="Wingdings" w:hint="default"/>
      </w:rPr>
    </w:lvl>
  </w:abstractNum>
  <w:abstractNum w:abstractNumId="13" w15:restartNumberingAfterBreak="0">
    <w:nsid w:val="420860A3"/>
    <w:multiLevelType w:val="hybridMultilevel"/>
    <w:tmpl w:val="2DF6A548"/>
    <w:lvl w:ilvl="0" w:tplc="23C47252">
      <w:start w:val="1"/>
      <w:numFmt w:val="decimal"/>
      <w:pStyle w:val="Heading2-numbered"/>
      <w:lvlText w:val="%1."/>
      <w:lvlJc w:val="left"/>
      <w:pPr>
        <w:ind w:left="360" w:hanging="360"/>
      </w:pPr>
    </w:lvl>
    <w:lvl w:ilvl="1" w:tplc="292E1C44" w:tentative="1">
      <w:start w:val="1"/>
      <w:numFmt w:val="lowerLetter"/>
      <w:lvlText w:val="%2."/>
      <w:lvlJc w:val="left"/>
      <w:pPr>
        <w:ind w:left="1080" w:hanging="360"/>
      </w:pPr>
    </w:lvl>
    <w:lvl w:ilvl="2" w:tplc="C75462E6" w:tentative="1">
      <w:start w:val="1"/>
      <w:numFmt w:val="lowerRoman"/>
      <w:lvlText w:val="%3."/>
      <w:lvlJc w:val="right"/>
      <w:pPr>
        <w:ind w:left="1800" w:hanging="180"/>
      </w:pPr>
    </w:lvl>
    <w:lvl w:ilvl="3" w:tplc="853E178E" w:tentative="1">
      <w:start w:val="1"/>
      <w:numFmt w:val="decimal"/>
      <w:lvlText w:val="%4."/>
      <w:lvlJc w:val="left"/>
      <w:pPr>
        <w:ind w:left="2520" w:hanging="360"/>
      </w:pPr>
    </w:lvl>
    <w:lvl w:ilvl="4" w:tplc="007AA19A" w:tentative="1">
      <w:start w:val="1"/>
      <w:numFmt w:val="lowerLetter"/>
      <w:lvlText w:val="%5."/>
      <w:lvlJc w:val="left"/>
      <w:pPr>
        <w:ind w:left="3240" w:hanging="360"/>
      </w:pPr>
    </w:lvl>
    <w:lvl w:ilvl="5" w:tplc="400C712C" w:tentative="1">
      <w:start w:val="1"/>
      <w:numFmt w:val="lowerRoman"/>
      <w:lvlText w:val="%6."/>
      <w:lvlJc w:val="right"/>
      <w:pPr>
        <w:ind w:left="3960" w:hanging="180"/>
      </w:pPr>
    </w:lvl>
    <w:lvl w:ilvl="6" w:tplc="46B2A476" w:tentative="1">
      <w:start w:val="1"/>
      <w:numFmt w:val="decimal"/>
      <w:lvlText w:val="%7."/>
      <w:lvlJc w:val="left"/>
      <w:pPr>
        <w:ind w:left="4680" w:hanging="360"/>
      </w:pPr>
    </w:lvl>
    <w:lvl w:ilvl="7" w:tplc="F5487C44" w:tentative="1">
      <w:start w:val="1"/>
      <w:numFmt w:val="lowerLetter"/>
      <w:lvlText w:val="%8."/>
      <w:lvlJc w:val="left"/>
      <w:pPr>
        <w:ind w:left="5400" w:hanging="360"/>
      </w:pPr>
    </w:lvl>
    <w:lvl w:ilvl="8" w:tplc="D728D0DE" w:tentative="1">
      <w:start w:val="1"/>
      <w:numFmt w:val="lowerRoman"/>
      <w:lvlText w:val="%9."/>
      <w:lvlJc w:val="right"/>
      <w:pPr>
        <w:ind w:left="6120" w:hanging="180"/>
      </w:pPr>
    </w:lvl>
  </w:abstractNum>
  <w:abstractNum w:abstractNumId="14" w15:restartNumberingAfterBreak="0">
    <w:nsid w:val="63F759CD"/>
    <w:multiLevelType w:val="hybridMultilevel"/>
    <w:tmpl w:val="018EF35A"/>
    <w:lvl w:ilvl="0" w:tplc="8CECC3FE">
      <w:start w:val="1"/>
      <w:numFmt w:val="decimal"/>
      <w:pStyle w:val="Heading4"/>
      <w:lvlText w:val="%1."/>
      <w:lvlJc w:val="left"/>
      <w:pPr>
        <w:ind w:left="360" w:hanging="360"/>
      </w:pPr>
      <w:rPr>
        <w:b/>
        <w:color w:val="auto"/>
      </w:rPr>
    </w:lvl>
    <w:lvl w:ilvl="1" w:tplc="739E00E6" w:tentative="1">
      <w:start w:val="1"/>
      <w:numFmt w:val="lowerLetter"/>
      <w:lvlText w:val="%2."/>
      <w:lvlJc w:val="left"/>
      <w:pPr>
        <w:ind w:left="1080" w:hanging="360"/>
      </w:pPr>
    </w:lvl>
    <w:lvl w:ilvl="2" w:tplc="CCDE1D44" w:tentative="1">
      <w:start w:val="1"/>
      <w:numFmt w:val="lowerRoman"/>
      <w:lvlText w:val="%3."/>
      <w:lvlJc w:val="right"/>
      <w:pPr>
        <w:ind w:left="1800" w:hanging="180"/>
      </w:pPr>
    </w:lvl>
    <w:lvl w:ilvl="3" w:tplc="3B6892AE" w:tentative="1">
      <w:start w:val="1"/>
      <w:numFmt w:val="decimal"/>
      <w:lvlText w:val="%4."/>
      <w:lvlJc w:val="left"/>
      <w:pPr>
        <w:ind w:left="2520" w:hanging="360"/>
      </w:pPr>
    </w:lvl>
    <w:lvl w:ilvl="4" w:tplc="CAAE2D22" w:tentative="1">
      <w:start w:val="1"/>
      <w:numFmt w:val="lowerLetter"/>
      <w:lvlText w:val="%5."/>
      <w:lvlJc w:val="left"/>
      <w:pPr>
        <w:ind w:left="3240" w:hanging="360"/>
      </w:pPr>
    </w:lvl>
    <w:lvl w:ilvl="5" w:tplc="C12671E2" w:tentative="1">
      <w:start w:val="1"/>
      <w:numFmt w:val="lowerRoman"/>
      <w:lvlText w:val="%6."/>
      <w:lvlJc w:val="right"/>
      <w:pPr>
        <w:ind w:left="3960" w:hanging="180"/>
      </w:pPr>
    </w:lvl>
    <w:lvl w:ilvl="6" w:tplc="8028E036" w:tentative="1">
      <w:start w:val="1"/>
      <w:numFmt w:val="decimal"/>
      <w:lvlText w:val="%7."/>
      <w:lvlJc w:val="left"/>
      <w:pPr>
        <w:ind w:left="4680" w:hanging="360"/>
      </w:pPr>
    </w:lvl>
    <w:lvl w:ilvl="7" w:tplc="21980628" w:tentative="1">
      <w:start w:val="1"/>
      <w:numFmt w:val="lowerLetter"/>
      <w:lvlText w:val="%8."/>
      <w:lvlJc w:val="left"/>
      <w:pPr>
        <w:ind w:left="5400" w:hanging="360"/>
      </w:pPr>
    </w:lvl>
    <w:lvl w:ilvl="8" w:tplc="9CDC209C" w:tentative="1">
      <w:start w:val="1"/>
      <w:numFmt w:val="lowerRoman"/>
      <w:lvlText w:val="%9."/>
      <w:lvlJc w:val="right"/>
      <w:pPr>
        <w:ind w:left="6120" w:hanging="180"/>
      </w:pPr>
    </w:lvl>
  </w:abstractNum>
  <w:abstractNum w:abstractNumId="15" w15:restartNumberingAfterBreak="0">
    <w:nsid w:val="64C77DA0"/>
    <w:multiLevelType w:val="singleLevel"/>
    <w:tmpl w:val="FFF2907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6075A2B"/>
    <w:multiLevelType w:val="singleLevel"/>
    <w:tmpl w:val="FFF2907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9CB6E34"/>
    <w:multiLevelType w:val="hybridMultilevel"/>
    <w:tmpl w:val="4538C936"/>
    <w:lvl w:ilvl="0" w:tplc="43A45CE0">
      <w:start w:val="1"/>
      <w:numFmt w:val="bullet"/>
      <w:lvlText w:val=""/>
      <w:lvlJc w:val="left"/>
      <w:pPr>
        <w:ind w:left="915" w:hanging="360"/>
      </w:pPr>
      <w:rPr>
        <w:rFonts w:ascii="Symbol" w:hAnsi="Symbol" w:hint="default"/>
      </w:rPr>
    </w:lvl>
    <w:lvl w:ilvl="1" w:tplc="5B54358E" w:tentative="1">
      <w:start w:val="1"/>
      <w:numFmt w:val="bullet"/>
      <w:lvlText w:val="o"/>
      <w:lvlJc w:val="left"/>
      <w:pPr>
        <w:ind w:left="1635" w:hanging="360"/>
      </w:pPr>
      <w:rPr>
        <w:rFonts w:ascii="Courier New" w:hAnsi="Courier New" w:cs="Courier New" w:hint="default"/>
      </w:rPr>
    </w:lvl>
    <w:lvl w:ilvl="2" w:tplc="17DE1E86" w:tentative="1">
      <w:start w:val="1"/>
      <w:numFmt w:val="bullet"/>
      <w:lvlText w:val=""/>
      <w:lvlJc w:val="left"/>
      <w:pPr>
        <w:ind w:left="2355" w:hanging="360"/>
      </w:pPr>
      <w:rPr>
        <w:rFonts w:ascii="Wingdings" w:hAnsi="Wingdings" w:hint="default"/>
      </w:rPr>
    </w:lvl>
    <w:lvl w:ilvl="3" w:tplc="4CB8B868" w:tentative="1">
      <w:start w:val="1"/>
      <w:numFmt w:val="bullet"/>
      <w:lvlText w:val=""/>
      <w:lvlJc w:val="left"/>
      <w:pPr>
        <w:ind w:left="3075" w:hanging="360"/>
      </w:pPr>
      <w:rPr>
        <w:rFonts w:ascii="Symbol" w:hAnsi="Symbol" w:hint="default"/>
      </w:rPr>
    </w:lvl>
    <w:lvl w:ilvl="4" w:tplc="ECD6837A" w:tentative="1">
      <w:start w:val="1"/>
      <w:numFmt w:val="bullet"/>
      <w:lvlText w:val="o"/>
      <w:lvlJc w:val="left"/>
      <w:pPr>
        <w:ind w:left="3795" w:hanging="360"/>
      </w:pPr>
      <w:rPr>
        <w:rFonts w:ascii="Courier New" w:hAnsi="Courier New" w:cs="Courier New" w:hint="default"/>
      </w:rPr>
    </w:lvl>
    <w:lvl w:ilvl="5" w:tplc="3D80AA72" w:tentative="1">
      <w:start w:val="1"/>
      <w:numFmt w:val="bullet"/>
      <w:lvlText w:val=""/>
      <w:lvlJc w:val="left"/>
      <w:pPr>
        <w:ind w:left="4515" w:hanging="360"/>
      </w:pPr>
      <w:rPr>
        <w:rFonts w:ascii="Wingdings" w:hAnsi="Wingdings" w:hint="default"/>
      </w:rPr>
    </w:lvl>
    <w:lvl w:ilvl="6" w:tplc="75B07872" w:tentative="1">
      <w:start w:val="1"/>
      <w:numFmt w:val="bullet"/>
      <w:lvlText w:val=""/>
      <w:lvlJc w:val="left"/>
      <w:pPr>
        <w:ind w:left="5235" w:hanging="360"/>
      </w:pPr>
      <w:rPr>
        <w:rFonts w:ascii="Symbol" w:hAnsi="Symbol" w:hint="default"/>
      </w:rPr>
    </w:lvl>
    <w:lvl w:ilvl="7" w:tplc="09E265DE" w:tentative="1">
      <w:start w:val="1"/>
      <w:numFmt w:val="bullet"/>
      <w:lvlText w:val="o"/>
      <w:lvlJc w:val="left"/>
      <w:pPr>
        <w:ind w:left="5955" w:hanging="360"/>
      </w:pPr>
      <w:rPr>
        <w:rFonts w:ascii="Courier New" w:hAnsi="Courier New" w:cs="Courier New" w:hint="default"/>
      </w:rPr>
    </w:lvl>
    <w:lvl w:ilvl="8" w:tplc="88F45926" w:tentative="1">
      <w:start w:val="1"/>
      <w:numFmt w:val="bullet"/>
      <w:lvlText w:val=""/>
      <w:lvlJc w:val="left"/>
      <w:pPr>
        <w:ind w:left="6675" w:hanging="360"/>
      </w:pPr>
      <w:rPr>
        <w:rFonts w:ascii="Wingdings" w:hAnsi="Wingdings" w:hint="default"/>
      </w:rPr>
    </w:lvl>
  </w:abstractNum>
  <w:abstractNum w:abstractNumId="18" w15:restartNumberingAfterBreak="0">
    <w:nsid w:val="6D4C52E5"/>
    <w:multiLevelType w:val="hybridMultilevel"/>
    <w:tmpl w:val="BE4E6B56"/>
    <w:lvl w:ilvl="0" w:tplc="F8F8F872">
      <w:start w:val="1"/>
      <w:numFmt w:val="bullet"/>
      <w:lvlText w:val=""/>
      <w:lvlJc w:val="left"/>
      <w:pPr>
        <w:ind w:left="720" w:hanging="360"/>
      </w:pPr>
      <w:rPr>
        <w:rFonts w:ascii="Symbol" w:hAnsi="Symbol" w:hint="default"/>
      </w:rPr>
    </w:lvl>
    <w:lvl w:ilvl="1" w:tplc="B6902FD8" w:tentative="1">
      <w:start w:val="1"/>
      <w:numFmt w:val="bullet"/>
      <w:lvlText w:val="o"/>
      <w:lvlJc w:val="left"/>
      <w:pPr>
        <w:ind w:left="1440" w:hanging="360"/>
      </w:pPr>
      <w:rPr>
        <w:rFonts w:ascii="Courier New" w:hAnsi="Courier New" w:cs="Courier New" w:hint="default"/>
      </w:rPr>
    </w:lvl>
    <w:lvl w:ilvl="2" w:tplc="DB6E9AE4" w:tentative="1">
      <w:start w:val="1"/>
      <w:numFmt w:val="bullet"/>
      <w:lvlText w:val=""/>
      <w:lvlJc w:val="left"/>
      <w:pPr>
        <w:ind w:left="2160" w:hanging="360"/>
      </w:pPr>
      <w:rPr>
        <w:rFonts w:ascii="Wingdings" w:hAnsi="Wingdings" w:hint="default"/>
      </w:rPr>
    </w:lvl>
    <w:lvl w:ilvl="3" w:tplc="CA9C7966" w:tentative="1">
      <w:start w:val="1"/>
      <w:numFmt w:val="bullet"/>
      <w:lvlText w:val=""/>
      <w:lvlJc w:val="left"/>
      <w:pPr>
        <w:ind w:left="2880" w:hanging="360"/>
      </w:pPr>
      <w:rPr>
        <w:rFonts w:ascii="Symbol" w:hAnsi="Symbol" w:hint="default"/>
      </w:rPr>
    </w:lvl>
    <w:lvl w:ilvl="4" w:tplc="BCCED91E" w:tentative="1">
      <w:start w:val="1"/>
      <w:numFmt w:val="bullet"/>
      <w:lvlText w:val="o"/>
      <w:lvlJc w:val="left"/>
      <w:pPr>
        <w:ind w:left="3600" w:hanging="360"/>
      </w:pPr>
      <w:rPr>
        <w:rFonts w:ascii="Courier New" w:hAnsi="Courier New" w:cs="Courier New" w:hint="default"/>
      </w:rPr>
    </w:lvl>
    <w:lvl w:ilvl="5" w:tplc="F3C69250" w:tentative="1">
      <w:start w:val="1"/>
      <w:numFmt w:val="bullet"/>
      <w:lvlText w:val=""/>
      <w:lvlJc w:val="left"/>
      <w:pPr>
        <w:ind w:left="4320" w:hanging="360"/>
      </w:pPr>
      <w:rPr>
        <w:rFonts w:ascii="Wingdings" w:hAnsi="Wingdings" w:hint="default"/>
      </w:rPr>
    </w:lvl>
    <w:lvl w:ilvl="6" w:tplc="9C9C78B6" w:tentative="1">
      <w:start w:val="1"/>
      <w:numFmt w:val="bullet"/>
      <w:lvlText w:val=""/>
      <w:lvlJc w:val="left"/>
      <w:pPr>
        <w:ind w:left="5040" w:hanging="360"/>
      </w:pPr>
      <w:rPr>
        <w:rFonts w:ascii="Symbol" w:hAnsi="Symbol" w:hint="default"/>
      </w:rPr>
    </w:lvl>
    <w:lvl w:ilvl="7" w:tplc="6D90BFF4" w:tentative="1">
      <w:start w:val="1"/>
      <w:numFmt w:val="bullet"/>
      <w:lvlText w:val="o"/>
      <w:lvlJc w:val="left"/>
      <w:pPr>
        <w:ind w:left="5760" w:hanging="360"/>
      </w:pPr>
      <w:rPr>
        <w:rFonts w:ascii="Courier New" w:hAnsi="Courier New" w:cs="Courier New" w:hint="default"/>
      </w:rPr>
    </w:lvl>
    <w:lvl w:ilvl="8" w:tplc="7A30074E" w:tentative="1">
      <w:start w:val="1"/>
      <w:numFmt w:val="bullet"/>
      <w:lvlText w:val=""/>
      <w:lvlJc w:val="left"/>
      <w:pPr>
        <w:ind w:left="6480" w:hanging="360"/>
      </w:pPr>
      <w:rPr>
        <w:rFonts w:ascii="Wingdings" w:hAnsi="Wingdings" w:hint="default"/>
      </w:rPr>
    </w:lvl>
  </w:abstractNum>
  <w:abstractNum w:abstractNumId="19" w15:restartNumberingAfterBreak="0">
    <w:nsid w:val="712C6B77"/>
    <w:multiLevelType w:val="hybridMultilevel"/>
    <w:tmpl w:val="808278F0"/>
    <w:lvl w:ilvl="0" w:tplc="03F67312">
      <w:start w:val="1"/>
      <w:numFmt w:val="decimal"/>
      <w:pStyle w:val="Heading3-numbered"/>
      <w:lvlText w:val="%1."/>
      <w:lvlJc w:val="left"/>
      <w:pPr>
        <w:ind w:left="360" w:hanging="360"/>
      </w:pPr>
      <w:rPr>
        <w:b/>
        <w:i w:val="0"/>
        <w:color w:val="auto"/>
        <w:sz w:val="28"/>
        <w:szCs w:val="28"/>
      </w:rPr>
    </w:lvl>
    <w:lvl w:ilvl="1" w:tplc="FB1AA024" w:tentative="1">
      <w:start w:val="1"/>
      <w:numFmt w:val="lowerLetter"/>
      <w:lvlText w:val="%2."/>
      <w:lvlJc w:val="left"/>
      <w:pPr>
        <w:ind w:left="1080" w:hanging="360"/>
      </w:pPr>
    </w:lvl>
    <w:lvl w:ilvl="2" w:tplc="25B2773A" w:tentative="1">
      <w:start w:val="1"/>
      <w:numFmt w:val="lowerRoman"/>
      <w:lvlText w:val="%3."/>
      <w:lvlJc w:val="right"/>
      <w:pPr>
        <w:ind w:left="1800" w:hanging="180"/>
      </w:pPr>
    </w:lvl>
    <w:lvl w:ilvl="3" w:tplc="8958947C" w:tentative="1">
      <w:start w:val="1"/>
      <w:numFmt w:val="decimal"/>
      <w:lvlText w:val="%4."/>
      <w:lvlJc w:val="left"/>
      <w:pPr>
        <w:ind w:left="2520" w:hanging="360"/>
      </w:pPr>
    </w:lvl>
    <w:lvl w:ilvl="4" w:tplc="EED4F5E0" w:tentative="1">
      <w:start w:val="1"/>
      <w:numFmt w:val="lowerLetter"/>
      <w:lvlText w:val="%5."/>
      <w:lvlJc w:val="left"/>
      <w:pPr>
        <w:ind w:left="3240" w:hanging="360"/>
      </w:pPr>
    </w:lvl>
    <w:lvl w:ilvl="5" w:tplc="441EAB96" w:tentative="1">
      <w:start w:val="1"/>
      <w:numFmt w:val="lowerRoman"/>
      <w:lvlText w:val="%6."/>
      <w:lvlJc w:val="right"/>
      <w:pPr>
        <w:ind w:left="3960" w:hanging="180"/>
      </w:pPr>
    </w:lvl>
    <w:lvl w:ilvl="6" w:tplc="43B02DB8" w:tentative="1">
      <w:start w:val="1"/>
      <w:numFmt w:val="decimal"/>
      <w:lvlText w:val="%7."/>
      <w:lvlJc w:val="left"/>
      <w:pPr>
        <w:ind w:left="4680" w:hanging="360"/>
      </w:pPr>
    </w:lvl>
    <w:lvl w:ilvl="7" w:tplc="6E145C14" w:tentative="1">
      <w:start w:val="1"/>
      <w:numFmt w:val="lowerLetter"/>
      <w:lvlText w:val="%8."/>
      <w:lvlJc w:val="left"/>
      <w:pPr>
        <w:ind w:left="5400" w:hanging="360"/>
      </w:pPr>
    </w:lvl>
    <w:lvl w:ilvl="8" w:tplc="CCEAB3D8" w:tentative="1">
      <w:start w:val="1"/>
      <w:numFmt w:val="lowerRoman"/>
      <w:lvlText w:val="%9."/>
      <w:lvlJc w:val="right"/>
      <w:pPr>
        <w:ind w:left="6120" w:hanging="180"/>
      </w:pPr>
    </w:lvl>
  </w:abstractNum>
  <w:abstractNum w:abstractNumId="20" w15:restartNumberingAfterBreak="0">
    <w:nsid w:val="75440564"/>
    <w:multiLevelType w:val="hybridMultilevel"/>
    <w:tmpl w:val="FECA2AB4"/>
    <w:lvl w:ilvl="0" w:tplc="533C900E">
      <w:start w:val="1"/>
      <w:numFmt w:val="bullet"/>
      <w:lvlText w:val=""/>
      <w:lvlJc w:val="left"/>
      <w:pPr>
        <w:ind w:left="720" w:hanging="360"/>
      </w:pPr>
      <w:rPr>
        <w:rFonts w:ascii="Symbol" w:hAnsi="Symbol" w:hint="default"/>
      </w:rPr>
    </w:lvl>
    <w:lvl w:ilvl="1" w:tplc="02700248" w:tentative="1">
      <w:start w:val="1"/>
      <w:numFmt w:val="bullet"/>
      <w:lvlText w:val="o"/>
      <w:lvlJc w:val="left"/>
      <w:pPr>
        <w:ind w:left="1440" w:hanging="360"/>
      </w:pPr>
      <w:rPr>
        <w:rFonts w:ascii="Courier New" w:hAnsi="Courier New" w:cs="Courier New" w:hint="default"/>
      </w:rPr>
    </w:lvl>
    <w:lvl w:ilvl="2" w:tplc="F6DC1700" w:tentative="1">
      <w:start w:val="1"/>
      <w:numFmt w:val="bullet"/>
      <w:lvlText w:val=""/>
      <w:lvlJc w:val="left"/>
      <w:pPr>
        <w:ind w:left="2160" w:hanging="360"/>
      </w:pPr>
      <w:rPr>
        <w:rFonts w:ascii="Wingdings" w:hAnsi="Wingdings" w:hint="default"/>
      </w:rPr>
    </w:lvl>
    <w:lvl w:ilvl="3" w:tplc="BFF46730" w:tentative="1">
      <w:start w:val="1"/>
      <w:numFmt w:val="bullet"/>
      <w:lvlText w:val=""/>
      <w:lvlJc w:val="left"/>
      <w:pPr>
        <w:ind w:left="2880" w:hanging="360"/>
      </w:pPr>
      <w:rPr>
        <w:rFonts w:ascii="Symbol" w:hAnsi="Symbol" w:hint="default"/>
      </w:rPr>
    </w:lvl>
    <w:lvl w:ilvl="4" w:tplc="07384044" w:tentative="1">
      <w:start w:val="1"/>
      <w:numFmt w:val="bullet"/>
      <w:lvlText w:val="o"/>
      <w:lvlJc w:val="left"/>
      <w:pPr>
        <w:ind w:left="3600" w:hanging="360"/>
      </w:pPr>
      <w:rPr>
        <w:rFonts w:ascii="Courier New" w:hAnsi="Courier New" w:cs="Courier New" w:hint="default"/>
      </w:rPr>
    </w:lvl>
    <w:lvl w:ilvl="5" w:tplc="D6984702" w:tentative="1">
      <w:start w:val="1"/>
      <w:numFmt w:val="bullet"/>
      <w:lvlText w:val=""/>
      <w:lvlJc w:val="left"/>
      <w:pPr>
        <w:ind w:left="4320" w:hanging="360"/>
      </w:pPr>
      <w:rPr>
        <w:rFonts w:ascii="Wingdings" w:hAnsi="Wingdings" w:hint="default"/>
      </w:rPr>
    </w:lvl>
    <w:lvl w:ilvl="6" w:tplc="6564162E" w:tentative="1">
      <w:start w:val="1"/>
      <w:numFmt w:val="bullet"/>
      <w:lvlText w:val=""/>
      <w:lvlJc w:val="left"/>
      <w:pPr>
        <w:ind w:left="5040" w:hanging="360"/>
      </w:pPr>
      <w:rPr>
        <w:rFonts w:ascii="Symbol" w:hAnsi="Symbol" w:hint="default"/>
      </w:rPr>
    </w:lvl>
    <w:lvl w:ilvl="7" w:tplc="35242B94" w:tentative="1">
      <w:start w:val="1"/>
      <w:numFmt w:val="bullet"/>
      <w:lvlText w:val="o"/>
      <w:lvlJc w:val="left"/>
      <w:pPr>
        <w:ind w:left="5760" w:hanging="360"/>
      </w:pPr>
      <w:rPr>
        <w:rFonts w:ascii="Courier New" w:hAnsi="Courier New" w:cs="Courier New" w:hint="default"/>
      </w:rPr>
    </w:lvl>
    <w:lvl w:ilvl="8" w:tplc="32404E28" w:tentative="1">
      <w:start w:val="1"/>
      <w:numFmt w:val="bullet"/>
      <w:lvlText w:val=""/>
      <w:lvlJc w:val="left"/>
      <w:pPr>
        <w:ind w:left="6480" w:hanging="360"/>
      </w:pPr>
      <w:rPr>
        <w:rFonts w:ascii="Wingdings" w:hAnsi="Wingdings" w:hint="default"/>
      </w:rPr>
    </w:lvl>
  </w:abstractNum>
  <w:abstractNum w:abstractNumId="21" w15:restartNumberingAfterBreak="0">
    <w:nsid w:val="7F0526BF"/>
    <w:multiLevelType w:val="hybridMultilevel"/>
    <w:tmpl w:val="16CC010E"/>
    <w:lvl w:ilvl="0" w:tplc="D8863AFC">
      <w:start w:val="1"/>
      <w:numFmt w:val="bullet"/>
      <w:lvlText w:val=""/>
      <w:lvlJc w:val="left"/>
      <w:pPr>
        <w:ind w:left="360" w:hanging="360"/>
      </w:pPr>
      <w:rPr>
        <w:rFonts w:ascii="Symbol" w:hAnsi="Symbol" w:hint="default"/>
      </w:rPr>
    </w:lvl>
    <w:lvl w:ilvl="1" w:tplc="24623E30">
      <w:start w:val="1"/>
      <w:numFmt w:val="bullet"/>
      <w:lvlText w:val="o"/>
      <w:lvlJc w:val="left"/>
      <w:pPr>
        <w:ind w:left="1080" w:hanging="360"/>
      </w:pPr>
      <w:rPr>
        <w:rFonts w:ascii="Courier New" w:hAnsi="Courier New" w:cs="Courier New" w:hint="default"/>
      </w:rPr>
    </w:lvl>
    <w:lvl w:ilvl="2" w:tplc="3FB450FA" w:tentative="1">
      <w:start w:val="1"/>
      <w:numFmt w:val="bullet"/>
      <w:lvlText w:val=""/>
      <w:lvlJc w:val="left"/>
      <w:pPr>
        <w:ind w:left="1800" w:hanging="360"/>
      </w:pPr>
      <w:rPr>
        <w:rFonts w:ascii="Wingdings" w:hAnsi="Wingdings" w:hint="default"/>
      </w:rPr>
    </w:lvl>
    <w:lvl w:ilvl="3" w:tplc="16401598" w:tentative="1">
      <w:start w:val="1"/>
      <w:numFmt w:val="bullet"/>
      <w:lvlText w:val=""/>
      <w:lvlJc w:val="left"/>
      <w:pPr>
        <w:ind w:left="2520" w:hanging="360"/>
      </w:pPr>
      <w:rPr>
        <w:rFonts w:ascii="Symbol" w:hAnsi="Symbol" w:hint="default"/>
      </w:rPr>
    </w:lvl>
    <w:lvl w:ilvl="4" w:tplc="E44CE318" w:tentative="1">
      <w:start w:val="1"/>
      <w:numFmt w:val="bullet"/>
      <w:lvlText w:val="o"/>
      <w:lvlJc w:val="left"/>
      <w:pPr>
        <w:ind w:left="3240" w:hanging="360"/>
      </w:pPr>
      <w:rPr>
        <w:rFonts w:ascii="Courier New" w:hAnsi="Courier New" w:cs="Courier New" w:hint="default"/>
      </w:rPr>
    </w:lvl>
    <w:lvl w:ilvl="5" w:tplc="912A8B6E" w:tentative="1">
      <w:start w:val="1"/>
      <w:numFmt w:val="bullet"/>
      <w:lvlText w:val=""/>
      <w:lvlJc w:val="left"/>
      <w:pPr>
        <w:ind w:left="3960" w:hanging="360"/>
      </w:pPr>
      <w:rPr>
        <w:rFonts w:ascii="Wingdings" w:hAnsi="Wingdings" w:hint="default"/>
      </w:rPr>
    </w:lvl>
    <w:lvl w:ilvl="6" w:tplc="A5B6C9C6" w:tentative="1">
      <w:start w:val="1"/>
      <w:numFmt w:val="bullet"/>
      <w:lvlText w:val=""/>
      <w:lvlJc w:val="left"/>
      <w:pPr>
        <w:ind w:left="4680" w:hanging="360"/>
      </w:pPr>
      <w:rPr>
        <w:rFonts w:ascii="Symbol" w:hAnsi="Symbol" w:hint="default"/>
      </w:rPr>
    </w:lvl>
    <w:lvl w:ilvl="7" w:tplc="4C446052" w:tentative="1">
      <w:start w:val="1"/>
      <w:numFmt w:val="bullet"/>
      <w:lvlText w:val="o"/>
      <w:lvlJc w:val="left"/>
      <w:pPr>
        <w:ind w:left="5400" w:hanging="360"/>
      </w:pPr>
      <w:rPr>
        <w:rFonts w:ascii="Courier New" w:hAnsi="Courier New" w:cs="Courier New" w:hint="default"/>
      </w:rPr>
    </w:lvl>
    <w:lvl w:ilvl="8" w:tplc="8166B7D6" w:tentative="1">
      <w:start w:val="1"/>
      <w:numFmt w:val="bullet"/>
      <w:lvlText w:val=""/>
      <w:lvlJc w:val="left"/>
      <w:pPr>
        <w:ind w:left="6120" w:hanging="360"/>
      </w:pPr>
      <w:rPr>
        <w:rFonts w:ascii="Wingdings" w:hAnsi="Wingdings" w:hint="default"/>
      </w:rPr>
    </w:lvl>
  </w:abstractNum>
  <w:abstractNum w:abstractNumId="22" w15:restartNumberingAfterBreak="0">
    <w:nsid w:val="7F7B6D5D"/>
    <w:multiLevelType w:val="singleLevel"/>
    <w:tmpl w:val="C6F41AE2"/>
    <w:lvl w:ilvl="0">
      <w:start w:val="1"/>
      <w:numFmt w:val="decimal"/>
      <w:lvlText w:val="%1."/>
      <w:lvlJc w:val="left"/>
      <w:pPr>
        <w:tabs>
          <w:tab w:val="num" w:pos="360"/>
        </w:tabs>
        <w:ind w:left="360" w:hanging="360"/>
      </w:pPr>
      <w:rPr>
        <w:rFonts w:ascii="Arial" w:hAnsi="Arial" w:cs="Times New Roman" w:hint="default"/>
        <w:b/>
        <w:i w:val="0"/>
        <w:sz w:val="20"/>
      </w:rPr>
    </w:lvl>
  </w:abstractNum>
  <w:num w:numId="1">
    <w:abstractNumId w:val="8"/>
  </w:num>
  <w:num w:numId="2">
    <w:abstractNumId w:val="13"/>
  </w:num>
  <w:num w:numId="3">
    <w:abstractNumId w:val="19"/>
  </w:num>
  <w:num w:numId="4">
    <w:abstractNumId w:val="14"/>
  </w:num>
  <w:num w:numId="5">
    <w:abstractNumId w:val="2"/>
  </w:num>
  <w:num w:numId="6">
    <w:abstractNumId w:val="1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num>
  <w:num w:numId="10">
    <w:abstractNumId w:val="16"/>
  </w:num>
  <w:num w:numId="11">
    <w:abstractNumId w:val="3"/>
  </w:num>
  <w:num w:numId="12">
    <w:abstractNumId w:val="5"/>
  </w:num>
  <w:num w:numId="13">
    <w:abstractNumId w:val="14"/>
  </w:num>
  <w:num w:numId="14">
    <w:abstractNumId w:val="1"/>
  </w:num>
  <w:num w:numId="15">
    <w:abstractNumId w:val="18"/>
  </w:num>
  <w:num w:numId="16">
    <w:abstractNumId w:val="6"/>
  </w:num>
  <w:num w:numId="17">
    <w:abstractNumId w:val="21"/>
  </w:num>
  <w:num w:numId="18">
    <w:abstractNumId w:val="0"/>
  </w:num>
  <w:num w:numId="19">
    <w:abstractNumId w:val="12"/>
  </w:num>
  <w:num w:numId="20">
    <w:abstractNumId w:val="20"/>
  </w:num>
  <w:num w:numId="21">
    <w:abstractNumId w:val="10"/>
  </w:num>
  <w:num w:numId="22">
    <w:abstractNumId w:val="9"/>
  </w:num>
  <w:num w:numId="23">
    <w:abstractNumId w:val="11"/>
  </w:num>
  <w:num w:numId="24">
    <w:abstractNumId w:val="4"/>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3D"/>
    <w:rsid w:val="00305F3D"/>
    <w:rsid w:val="00B82A1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60E89-B3A1-4CD3-92AD-0C99459E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rsid w:val="00846AEA"/>
    <w:pPr>
      <w:tabs>
        <w:tab w:val="center" w:pos="4320"/>
        <w:tab w:val="right" w:pos="8640"/>
      </w:tabs>
      <w:spacing w:after="0"/>
    </w:pPr>
    <w:rPr>
      <w:color w:val="FFFFFF"/>
      <w:sz w:val="22"/>
      <w:szCs w:val="22"/>
    </w:rPr>
  </w:style>
  <w:style w:type="character" w:customStyle="1" w:styleId="HeaderChar">
    <w:name w:val="Header Char"/>
    <w:link w:val="Header"/>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semiHidden/>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BodyTextIndent3">
    <w:name w:val="Body Text Indent 3"/>
    <w:basedOn w:val="Normal"/>
    <w:link w:val="BodyTextIndent3Char"/>
    <w:semiHidden/>
    <w:unhideWhenUsed/>
    <w:rsid w:val="00334FD0"/>
    <w:pPr>
      <w:ind w:left="283"/>
    </w:pPr>
    <w:rPr>
      <w:sz w:val="16"/>
      <w:szCs w:val="16"/>
    </w:rPr>
  </w:style>
  <w:style w:type="character" w:customStyle="1" w:styleId="BodyTextIndent3Char">
    <w:name w:val="Body Text Indent 3 Char"/>
    <w:link w:val="BodyTextIndent3"/>
    <w:semiHidden/>
    <w:rsid w:val="00334FD0"/>
    <w:rPr>
      <w:rFonts w:eastAsia="Calibri" w:cs="Helvetica-Light"/>
      <w:color w:val="000000"/>
      <w:sz w:val="16"/>
      <w:szCs w:val="16"/>
      <w:lang w:eastAsia="en-US"/>
    </w:rPr>
  </w:style>
  <w:style w:type="paragraph" w:customStyle="1" w:styleId="Bullet4">
    <w:name w:val="Bullet 4"/>
    <w:basedOn w:val="Normal"/>
    <w:uiPriority w:val="99"/>
    <w:rsid w:val="00334FD0"/>
    <w:pPr>
      <w:numPr>
        <w:numId w:val="5"/>
      </w:numPr>
      <w:autoSpaceDE/>
      <w:autoSpaceDN/>
      <w:adjustRightInd/>
      <w:spacing w:after="240"/>
      <w:jc w:val="left"/>
    </w:pPr>
    <w:rPr>
      <w:rFonts w:ascii="Times New Roman" w:eastAsia="Times New Roman" w:hAnsi="Times New Roman" w:cs="Times New Roman"/>
      <w:color w:val="auto"/>
      <w:szCs w:val="20"/>
      <w:lang w:eastAsia="en-GB"/>
    </w:rPr>
  </w:style>
  <w:style w:type="character" w:styleId="Strong">
    <w:name w:val="Strong"/>
    <w:uiPriority w:val="22"/>
    <w:qFormat/>
    <w:rsid w:val="00334FD0"/>
    <w:rPr>
      <w:b/>
      <w:bCs/>
    </w:rPr>
  </w:style>
  <w:style w:type="character" w:styleId="CommentReference">
    <w:name w:val="annotation reference"/>
    <w:basedOn w:val="DefaultParagraphFont"/>
    <w:uiPriority w:val="99"/>
    <w:rsid w:val="003913AA"/>
    <w:rPr>
      <w:sz w:val="16"/>
      <w:szCs w:val="16"/>
    </w:rPr>
  </w:style>
  <w:style w:type="paragraph" w:styleId="CommentSubject">
    <w:name w:val="annotation subject"/>
    <w:basedOn w:val="CommentText"/>
    <w:next w:val="CommentText"/>
    <w:link w:val="CommentSubjectChar"/>
    <w:semiHidden/>
    <w:unhideWhenUsed/>
    <w:rsid w:val="003913AA"/>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3913AA"/>
    <w:rPr>
      <w:rFonts w:eastAsia="Calibri" w:cs="Helvetica-Light"/>
      <w:b/>
      <w:bCs/>
      <w:color w:val="000000"/>
      <w:sz w:val="20"/>
      <w:szCs w:val="20"/>
      <w:lang w:eastAsia="en-US"/>
    </w:rPr>
  </w:style>
  <w:style w:type="paragraph" w:customStyle="1" w:styleId="BodyText1">
    <w:name w:val="Body Text 1"/>
    <w:basedOn w:val="Normal"/>
    <w:link w:val="BodyText1Char"/>
    <w:qFormat/>
    <w:rsid w:val="002263D2"/>
    <w:pPr>
      <w:autoSpaceDE/>
      <w:autoSpaceDN/>
      <w:adjustRightInd/>
      <w:spacing w:before="60"/>
      <w:jc w:val="left"/>
    </w:pPr>
    <w:rPr>
      <w:rFonts w:eastAsia="Cambria" w:cs="Times New Roman"/>
      <w:szCs w:val="28"/>
    </w:rPr>
  </w:style>
  <w:style w:type="character" w:customStyle="1" w:styleId="BodyText1Char">
    <w:name w:val="Body Text 1 Char"/>
    <w:basedOn w:val="DefaultParagraphFont"/>
    <w:link w:val="BodyText1"/>
    <w:rsid w:val="002263D2"/>
    <w:rPr>
      <w:color w:val="000000"/>
      <w:sz w:val="24"/>
      <w:szCs w:val="28"/>
      <w:lang w:eastAsia="en-US"/>
    </w:rPr>
  </w:style>
  <w:style w:type="paragraph" w:customStyle="1" w:styleId="NJHSubHead1">
    <w:name w:val="NJH Sub Head 1"/>
    <w:basedOn w:val="Normal"/>
    <w:link w:val="NJHSubHead1Char"/>
    <w:uiPriority w:val="1"/>
    <w:qFormat/>
    <w:rsid w:val="002263D2"/>
    <w:pPr>
      <w:autoSpaceDE/>
      <w:autoSpaceDN/>
      <w:adjustRightInd/>
      <w:spacing w:after="200"/>
      <w:jc w:val="left"/>
    </w:pPr>
    <w:rPr>
      <w:rFonts w:eastAsia="Cambria" w:cs="Times New Roman"/>
      <w:u w:val="single"/>
    </w:rPr>
  </w:style>
  <w:style w:type="character" w:customStyle="1" w:styleId="NJHSubHead1Char">
    <w:name w:val="NJH Sub Head 1 Char"/>
    <w:basedOn w:val="DefaultParagraphFont"/>
    <w:link w:val="NJHSubHead1"/>
    <w:uiPriority w:val="1"/>
    <w:rsid w:val="002263D2"/>
    <w:rPr>
      <w:color w:val="000000"/>
      <w:sz w:val="24"/>
      <w:szCs w:val="24"/>
      <w:u w:val="single"/>
      <w:lang w:eastAsia="en-US"/>
    </w:rPr>
  </w:style>
  <w:style w:type="character" w:customStyle="1" w:styleId="Style1Char">
    <w:name w:val="Style1 Char"/>
    <w:basedOn w:val="DefaultParagraphFont"/>
    <w:link w:val="Style1"/>
    <w:locked/>
    <w:rsid w:val="008E6931"/>
    <w:rPr>
      <w:rFonts w:cs="Arial"/>
      <w:b/>
      <w:u w:val="single"/>
    </w:rPr>
  </w:style>
  <w:style w:type="paragraph" w:customStyle="1" w:styleId="Style1">
    <w:name w:val="Style1"/>
    <w:basedOn w:val="ListParagraph"/>
    <w:link w:val="Style1Char"/>
    <w:autoRedefine/>
    <w:qFormat/>
    <w:rsid w:val="008E6931"/>
    <w:pPr>
      <w:autoSpaceDE/>
      <w:autoSpaceDN/>
      <w:adjustRightInd/>
      <w:spacing w:after="0"/>
      <w:ind w:left="709" w:hanging="709"/>
    </w:pPr>
    <w:rPr>
      <w:rFonts w:eastAsia="Cambria" w:cs="Arial"/>
      <w:b/>
      <w:color w:val="auto"/>
      <w:sz w:val="20"/>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rpensionservice.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7A09D-F9D0-438B-BF77-388119A0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250</TotalTime>
  <Pages>15</Pages>
  <Words>4023</Words>
  <Characters>22936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Gorman, Dave</cp:lastModifiedBy>
  <cp:revision>7</cp:revision>
  <cp:lastPrinted>2011-09-30T07:46:00Z</cp:lastPrinted>
  <dcterms:created xsi:type="dcterms:W3CDTF">2016-09-02T09:38:00Z</dcterms:created>
  <dcterms:modified xsi:type="dcterms:W3CDTF">2016-09-06T09:09:00Z</dcterms:modified>
</cp:coreProperties>
</file>